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62C82" w14:textId="77777777" w:rsidR="00151715" w:rsidRPr="00151715" w:rsidRDefault="00151715" w:rsidP="00151715">
      <w:pPr>
        <w:widowControl/>
        <w:shd w:val="clear" w:color="auto" w:fill="FFFFFF"/>
        <w:jc w:val="left"/>
        <w:rPr>
          <w:rFonts w:ascii="微软雅黑" w:eastAsia="微软雅黑" w:hAnsi="微软雅黑" w:cs="宋体"/>
          <w:vanish/>
          <w:kern w:val="0"/>
          <w:sz w:val="24"/>
          <w:szCs w:val="24"/>
        </w:rPr>
      </w:pPr>
      <w:bookmarkStart w:id="0" w:name="_GoBack"/>
      <w:bookmarkEnd w:id="0"/>
      <w:r w:rsidRPr="00151715">
        <w:rPr>
          <w:rFonts w:ascii="微软雅黑" w:eastAsia="微软雅黑" w:hAnsi="微软雅黑" w:cs="宋体" w:hint="eastAsia"/>
          <w:vanish/>
          <w:kern w:val="0"/>
          <w:sz w:val="24"/>
          <w:szCs w:val="24"/>
        </w:rPr>
        <w:t>信息公开_厅函</w:t>
      </w:r>
    </w:p>
    <w:p w14:paraId="5826424E" w14:textId="77777777" w:rsidR="00151715" w:rsidRPr="00151715" w:rsidRDefault="00151715" w:rsidP="00151715">
      <w:pPr>
        <w:widowControl/>
        <w:shd w:val="clear" w:color="auto" w:fill="FFFFFF"/>
        <w:spacing w:before="100" w:beforeAutospacing="1" w:after="100" w:afterAutospacing="1"/>
        <w:jc w:val="center"/>
        <w:outlineLvl w:val="1"/>
        <w:rPr>
          <w:rFonts w:ascii="微软雅黑" w:eastAsia="微软雅黑" w:hAnsi="微软雅黑" w:cs="宋体"/>
          <w:b/>
          <w:bCs/>
          <w:color w:val="4B4B4B"/>
          <w:kern w:val="36"/>
          <w:sz w:val="30"/>
          <w:szCs w:val="30"/>
        </w:rPr>
      </w:pPr>
      <w:r w:rsidRPr="00151715">
        <w:rPr>
          <w:rFonts w:ascii="微软雅黑" w:eastAsia="微软雅黑" w:hAnsi="微软雅黑" w:cs="宋体" w:hint="eastAsia"/>
          <w:b/>
          <w:bCs/>
          <w:color w:val="4B4B4B"/>
          <w:kern w:val="36"/>
          <w:sz w:val="30"/>
          <w:szCs w:val="30"/>
        </w:rPr>
        <w:t>教育部办公厅关于实施一流本科专业建设</w:t>
      </w:r>
      <w:r w:rsidRPr="00151715">
        <w:rPr>
          <w:rFonts w:ascii="微软雅黑" w:eastAsia="微软雅黑" w:hAnsi="微软雅黑" w:cs="宋体" w:hint="eastAsia"/>
          <w:b/>
          <w:bCs/>
          <w:color w:val="4B4B4B"/>
          <w:kern w:val="36"/>
          <w:sz w:val="30"/>
          <w:szCs w:val="30"/>
        </w:rPr>
        <w:br/>
        <w:t>“双万计划”的通知</w:t>
      </w:r>
    </w:p>
    <w:p w14:paraId="4ECA8453" w14:textId="77777777" w:rsidR="00151715" w:rsidRPr="00151715" w:rsidRDefault="00151715" w:rsidP="00151715">
      <w:pPr>
        <w:widowControl/>
        <w:shd w:val="clear" w:color="auto" w:fill="FFFFFF"/>
        <w:spacing w:before="100" w:beforeAutospacing="1" w:after="100" w:afterAutospacing="1" w:line="480" w:lineRule="atLeast"/>
        <w:jc w:val="right"/>
        <w:rPr>
          <w:rFonts w:ascii="微软雅黑" w:eastAsia="微软雅黑" w:hAnsi="微软雅黑" w:cs="宋体"/>
          <w:color w:val="4B4B4B"/>
          <w:kern w:val="0"/>
          <w:sz w:val="24"/>
          <w:szCs w:val="24"/>
        </w:rPr>
      </w:pPr>
      <w:proofErr w:type="gramStart"/>
      <w:r w:rsidRPr="00151715">
        <w:rPr>
          <w:rFonts w:ascii="微软雅黑" w:eastAsia="微软雅黑" w:hAnsi="微软雅黑" w:cs="宋体" w:hint="eastAsia"/>
          <w:color w:val="4B4B4B"/>
          <w:kern w:val="0"/>
          <w:sz w:val="24"/>
          <w:szCs w:val="24"/>
        </w:rPr>
        <w:t>教高厅函</w:t>
      </w:r>
      <w:proofErr w:type="gramEnd"/>
      <w:r w:rsidRPr="00151715">
        <w:rPr>
          <w:rFonts w:ascii="微软雅黑" w:eastAsia="微软雅黑" w:hAnsi="微软雅黑" w:cs="宋体" w:hint="eastAsia"/>
          <w:color w:val="4B4B4B"/>
          <w:kern w:val="0"/>
          <w:sz w:val="24"/>
          <w:szCs w:val="24"/>
        </w:rPr>
        <w:t>〔2019〕18号</w:t>
      </w:r>
    </w:p>
    <w:p w14:paraId="4A4343C3"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各省、自治区、直辖市教育厅（教委），新疆生产建设兵团教育局，有关部门（单位）教育司（局），部属各高等学校、部省合建各高等学校：</w:t>
      </w:r>
    </w:p>
    <w:p w14:paraId="118B60FE"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为深入落实全国教育大会和《加快推进教育现代化实施方案（2018—2022年）》精神，贯彻落实新时代全国高校本科教育工作会议和《教育部关于加快建设高水平本科教育 全面提高人才培养能力的意见》、“六卓越</w:t>
      </w:r>
      <w:proofErr w:type="gramStart"/>
      <w:r w:rsidRPr="00151715">
        <w:rPr>
          <w:rFonts w:ascii="微软雅黑" w:eastAsia="微软雅黑" w:hAnsi="微软雅黑" w:cs="宋体" w:hint="eastAsia"/>
          <w:color w:val="4B4B4B"/>
          <w:kern w:val="0"/>
          <w:sz w:val="24"/>
          <w:szCs w:val="24"/>
        </w:rPr>
        <w:t>一</w:t>
      </w:r>
      <w:proofErr w:type="gramEnd"/>
      <w:r w:rsidRPr="00151715">
        <w:rPr>
          <w:rFonts w:ascii="微软雅黑" w:eastAsia="微软雅黑" w:hAnsi="微软雅黑" w:cs="宋体" w:hint="eastAsia"/>
          <w:color w:val="4B4B4B"/>
          <w:kern w:val="0"/>
          <w:sz w:val="24"/>
          <w:szCs w:val="24"/>
        </w:rPr>
        <w:t>拔尖”计划2.0系列文件要求，推动新工科、新医科、新农科、新文科建设，做强一流本科、建设一流专业、培养一流人才，全面振兴本科教育，提高高校人才培养能力，实现高等教育内涵式发展，经研究，教育部决定全面实施“六卓越一拔尖”计划2.0，启动一流本科专业建设“双万计划”,现将有关事项通知如下。</w:t>
      </w:r>
    </w:p>
    <w:p w14:paraId="2B1498E3"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b/>
          <w:bCs/>
          <w:color w:val="4B4B4B"/>
          <w:kern w:val="0"/>
          <w:sz w:val="24"/>
          <w:szCs w:val="24"/>
        </w:rPr>
        <w:t xml:space="preserve">　　一、主要任务 </w:t>
      </w:r>
    </w:p>
    <w:p w14:paraId="503A012C"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2019—2021年，建设10000个左右国家级一流本科专业点和10000个左右省级一流本科专业点。</w:t>
      </w:r>
    </w:p>
    <w:p w14:paraId="5C4BE47A"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b/>
          <w:bCs/>
          <w:color w:val="4B4B4B"/>
          <w:kern w:val="0"/>
          <w:sz w:val="24"/>
          <w:szCs w:val="24"/>
        </w:rPr>
        <w:t xml:space="preserve">　　二、建设原则 </w:t>
      </w:r>
    </w:p>
    <w:p w14:paraId="668900F2"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面向各类高校。在不同类型的普通本科高校建设一流本科专业，鼓励分类发展、特色发展。</w:t>
      </w:r>
    </w:p>
    <w:p w14:paraId="30F641F2"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lastRenderedPageBreak/>
        <w:t xml:space="preserve">　　面向全部专业。覆盖全部92个本科专业类，分年度开展一流本科专业点建设。</w:t>
      </w:r>
    </w:p>
    <w:p w14:paraId="724CA851"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突出示范领跑。建设新工科、新医科、新农科、新文科示范性本科专业，引领带动高校优化专业结构、促进专业建设质量提升，推动形成高水平人才培养体系。</w:t>
      </w:r>
    </w:p>
    <w:p w14:paraId="01E22F9A"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分“赛道”建设。中央部门所属高校、地方高校名额分列，向地方高校倾斜；鼓励支持高校在服务国家和区域经济社会发展中建设一流本科专业。</w:t>
      </w:r>
    </w:p>
    <w:p w14:paraId="5D48EA4E"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“两步走”实施。报送的专业第一步被确定为国家级一流本科专业建设点；教育部组织开展专业认证，通过后再确定为国家级一流本科专业。</w:t>
      </w:r>
    </w:p>
    <w:p w14:paraId="5151977E"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b/>
          <w:bCs/>
          <w:color w:val="4B4B4B"/>
          <w:kern w:val="0"/>
          <w:sz w:val="24"/>
          <w:szCs w:val="24"/>
        </w:rPr>
        <w:t xml:space="preserve">　　三、建设方式 </w:t>
      </w:r>
    </w:p>
    <w:p w14:paraId="422D8F7F"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1.国家级一流本科专业建设工作分三年完成。每年3月启动，经高校网上报送、教育主管部门或高校提交汇总材料、高等学校教学指导委员会提出推荐意见等，确定建设点名单，当年10月公布结果。</w:t>
      </w:r>
    </w:p>
    <w:p w14:paraId="68E6C2FE"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2.省级一流本科专业建设方案由各省级教育行政部门制订，按照建设总量不超过本行政区域内本科专业布点总数的20%，分三年统筹规划，报教育部备案后与国家级一流专业建设同步组织实施。每年9月底前，各省级教育行政部门将本年度省级一流本科专业建设点名单报教育部，当年10月与国家级一流本科专业建设点名单一并公布。</w:t>
      </w:r>
    </w:p>
    <w:p w14:paraId="77D36B87"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lastRenderedPageBreak/>
        <w:t xml:space="preserve">　　3.入选省级一流本科专业建设点的专业，如同时入选国家级一流本科专业建设点，按照国家级一流本科专业建设点公布。空出的省级一流本科专业建设点名额可延至下一年度使用。</w:t>
      </w:r>
    </w:p>
    <w:p w14:paraId="04D11168"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4.根据2019、2020年一流本科专业点建设情况，2021年将对各专业类国家级一流本科专业的建设数量和建设进度进行统筹。</w:t>
      </w:r>
    </w:p>
    <w:p w14:paraId="639583E4"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b/>
          <w:bCs/>
          <w:color w:val="4B4B4B"/>
          <w:kern w:val="0"/>
          <w:sz w:val="24"/>
          <w:szCs w:val="24"/>
        </w:rPr>
        <w:t xml:space="preserve">　　四、报送条件 </w:t>
      </w:r>
    </w:p>
    <w:p w14:paraId="79F1BC1C"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（一）报送高校需具备的条件</w:t>
      </w:r>
    </w:p>
    <w:p w14:paraId="49CA68CB"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1.全面落实“以本为本、四个回归”。坚持立德树人，切实巩固人才培养中心地位和本科教学基础地位，把思想政治教育贯穿人才培养全过程，着力深化教育教学改革，全面提升人才培养质量。</w:t>
      </w:r>
    </w:p>
    <w:p w14:paraId="75231FDD"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2.积极推进新工科、新医科、新农科、新文科建设。紧扣国家发展需求，主动适应新一轮科技革命和产业变革，着力深化专业综合改革，优化专业结构，积极发展新兴专业，改造提升传统专业，打造特色优势专业。</w:t>
      </w:r>
    </w:p>
    <w:p w14:paraId="5F8A659B"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3.不断完善协同育人和实践教学机制。积极集聚优质教育资源，优化人才培养机制，着力推进与政府部门、企事业单位合作办学、合作育人、合作就业、合作发展，强化实践教学，不断提升人才培养的目标达成度和社会满意度。</w:t>
      </w:r>
    </w:p>
    <w:p w14:paraId="5B68E31E"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lastRenderedPageBreak/>
        <w:t xml:space="preserve">　　4.努力培育以人才培养为中心的质量文化。坚持学生中心、产出导向、持续改进的基本理念，建立健全自查自纠的质量保障机制并持续有效实施，将对质量的追求内化为全校师生的共同价值追求和行为自觉。</w:t>
      </w:r>
    </w:p>
    <w:p w14:paraId="61DDE0BF"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（二）报送专业需具备的条件</w:t>
      </w:r>
    </w:p>
    <w:p w14:paraId="1803D9FA"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1.专业定位明确。服务面向清晰，适应国家和区域经济社会发展需要，符合学校发展定位和办学方向。</w:t>
      </w:r>
    </w:p>
    <w:p w14:paraId="66CE1672"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2.专业管理规范。切实落实本科专业国家标准要求，人才培养方案科学合理，教育教学管理规范有序。近三年未出现重大安全责任事故。</w:t>
      </w:r>
    </w:p>
    <w:p w14:paraId="0B401053"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3.改革成效突出。持续深化教育教学改革，教育理念先进，教学内容更新及时，方法手段不断创新，以新理念、新形态、新方法引领带动新工科、新医科、新农科、新文科建设。</w:t>
      </w:r>
    </w:p>
    <w:p w14:paraId="33BEEBC3"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4.师资力量雄厚。不断加强师资队伍和基层教学组织建设，教育教学研究活动广泛开展，专业教学团队结构合理、整体素质水平高。</w:t>
      </w:r>
    </w:p>
    <w:p w14:paraId="3E6766BD"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5.培养质量一流。坚持以学生为中心，促进学生全面发展，有效激发学生学习兴趣和潜能，增强创新精神、实践能力和社会责任感，毕业生行业认可度高、社会整体评价好。</w:t>
      </w:r>
    </w:p>
    <w:p w14:paraId="1FDD44C4"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b/>
          <w:bCs/>
          <w:color w:val="4B4B4B"/>
          <w:kern w:val="0"/>
          <w:sz w:val="24"/>
          <w:szCs w:val="24"/>
        </w:rPr>
        <w:t xml:space="preserve">　　五、报送办法 </w:t>
      </w:r>
    </w:p>
    <w:p w14:paraId="06A3E075"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lastRenderedPageBreak/>
        <w:t xml:space="preserve">　　国家级一流本科专业建设点以学校为单位组织报送。教育部直属高校直接报教育部，其他中央部门所属高校经主管部门同意后报教育部；地方高校由省级教育行政部门统一报教育部。各地各高校报送专业点数（比例）分年度下达。</w:t>
      </w:r>
    </w:p>
    <w:p w14:paraId="57E6A665"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b/>
          <w:bCs/>
          <w:color w:val="4B4B4B"/>
          <w:kern w:val="0"/>
          <w:sz w:val="24"/>
          <w:szCs w:val="24"/>
        </w:rPr>
        <w:t xml:space="preserve">　　六、组织保障 </w:t>
      </w:r>
    </w:p>
    <w:p w14:paraId="468A4BE1"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（一）构建三级实施体系。教育部等14个“六卓越</w:t>
      </w:r>
      <w:proofErr w:type="gramStart"/>
      <w:r w:rsidRPr="00151715">
        <w:rPr>
          <w:rFonts w:ascii="微软雅黑" w:eastAsia="微软雅黑" w:hAnsi="微软雅黑" w:cs="宋体" w:hint="eastAsia"/>
          <w:color w:val="4B4B4B"/>
          <w:kern w:val="0"/>
          <w:sz w:val="24"/>
          <w:szCs w:val="24"/>
        </w:rPr>
        <w:t>一</w:t>
      </w:r>
      <w:proofErr w:type="gramEnd"/>
      <w:r w:rsidRPr="00151715">
        <w:rPr>
          <w:rFonts w:ascii="微软雅黑" w:eastAsia="微软雅黑" w:hAnsi="微软雅黑" w:cs="宋体" w:hint="eastAsia"/>
          <w:color w:val="4B4B4B"/>
          <w:kern w:val="0"/>
          <w:sz w:val="24"/>
          <w:szCs w:val="24"/>
        </w:rPr>
        <w:t>拔尖”计划2.0负责部委（单位）统筹一流本科专业建设“双万计划”组织实施工作，指导各地、各高校落实有关文件要求，加强一流本科专业建设，推动构建国家、地方、高校三级实施体系。</w:t>
      </w:r>
    </w:p>
    <w:p w14:paraId="428DD2C0"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（二）完善经费保障。中央部门所属高校应当统筹利用中央高校教育教学改革</w:t>
      </w:r>
      <w:proofErr w:type="gramStart"/>
      <w:r w:rsidRPr="00151715">
        <w:rPr>
          <w:rFonts w:ascii="微软雅黑" w:eastAsia="微软雅黑" w:hAnsi="微软雅黑" w:cs="宋体" w:hint="eastAsia"/>
          <w:color w:val="4B4B4B"/>
          <w:kern w:val="0"/>
          <w:sz w:val="24"/>
          <w:szCs w:val="24"/>
        </w:rPr>
        <w:t>专项等</w:t>
      </w:r>
      <w:proofErr w:type="gramEnd"/>
      <w:r w:rsidRPr="00151715">
        <w:rPr>
          <w:rFonts w:ascii="微软雅黑" w:eastAsia="微软雅黑" w:hAnsi="微软雅黑" w:cs="宋体" w:hint="eastAsia"/>
          <w:color w:val="4B4B4B"/>
          <w:kern w:val="0"/>
          <w:sz w:val="24"/>
          <w:szCs w:val="24"/>
        </w:rPr>
        <w:t>中央高校预算拨款和其他各类资源，各地应当统筹地方财政高等教育资金和中央支持地方高校改革发展资金，支持一流本科专业建设。</w:t>
      </w:r>
    </w:p>
    <w:p w14:paraId="55DAEBB0"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（三）建立动态调整机制。教育部和省级教育行政部门加强对计划实施过程跟踪，针对一流本科专业建设中存在的问题，提出改进意见建议，对于建设质量不达标、出现严重质量问题的专业建设点予以撤销。</w:t>
      </w:r>
    </w:p>
    <w:p w14:paraId="4A9093E8"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b/>
          <w:bCs/>
          <w:color w:val="4B4B4B"/>
          <w:kern w:val="0"/>
          <w:sz w:val="24"/>
          <w:szCs w:val="24"/>
        </w:rPr>
        <w:t xml:space="preserve">　　七、关于2019年国家级一流本科专业建设点报送工作 </w:t>
      </w:r>
    </w:p>
    <w:p w14:paraId="2787045F"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1.报送数量。中央部门所属高校、部省合建高校2019年度报送的专业点数不超过本校本科专业布点数25%；各省级教育行政部门2019年度报送专业点数量不超过本地所属地方高校本科专业布点总数的15%。</w:t>
      </w:r>
    </w:p>
    <w:p w14:paraId="01BF893B"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lastRenderedPageBreak/>
        <w:t xml:space="preserve">　　2.在线登录账号和密码。高校使用“高等教育质量监测国家数据平台”的登录账号及密码。各省级教育行政部门、中央有关部门（单位）教育司（局）须明确工作联系人，于2019年4月15日前将姓名、单位、座机、手机、电子邮件、传真号码报至教育部高等教育司文科处，获取报送系统登录账号及密码。</w:t>
      </w:r>
    </w:p>
    <w:p w14:paraId="2C00524F"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3.在线报送时间和网址。在线报送时间为2019年4月20日—6月30日，请登录“国家级一流本科专业建设报送系统”（网址：http://udb.heec.edu.cn），按照系统提示填报。</w:t>
      </w:r>
    </w:p>
    <w:p w14:paraId="23626B2F"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4.在线审核和提交。各省级教育行政部门、中央有关部门（单位）教育司（局）须在2019年6月30日前，登录报送系统，严格按照限额，完成所属高校报送信息的在线审核和提交工作。</w:t>
      </w:r>
    </w:p>
    <w:p w14:paraId="11B6A353"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5.纸质材料报送。高校在线报送完成后，请导出《国家级一流本科专业建设点信息汇总表》，加盖本校公章。教育部直属高校、部省合建高校材料直接报教育部；中央部门所属高校材料加盖主管部门公章后报教育部；地方高校材料由省级教育行政部门加盖公章后统一报送教育部。请于2019年7月1日前（以邮戳时间为准），将材料寄北京市西城区西单大木仓胡同35号教育部高等教育司文科处，邮编：100816。</w:t>
      </w:r>
    </w:p>
    <w:p w14:paraId="26A451F0"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联系人及电话：教育部高等教育司，朱蓓蓓、徐健，010-66097823；教育部高等教育教学评估中心，郭栋、南方，010-82213390、82213395。</w:t>
      </w:r>
    </w:p>
    <w:p w14:paraId="08E8332A"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 xml:space="preserve">　　附件：1.</w:t>
      </w:r>
      <w:hyperlink r:id="rId6" w:tgtFrame="_blank" w:history="1">
        <w:r w:rsidRPr="00151715">
          <w:rPr>
            <w:rFonts w:ascii="微软雅黑" w:eastAsia="微软雅黑" w:hAnsi="微软雅黑" w:cs="宋体" w:hint="eastAsia"/>
            <w:color w:val="0000FF"/>
            <w:kern w:val="0"/>
            <w:sz w:val="24"/>
            <w:szCs w:val="24"/>
          </w:rPr>
          <w:t>国家级一流本科专业分专业类建设规划</w:t>
        </w:r>
      </w:hyperlink>
    </w:p>
    <w:p w14:paraId="4EFF96F7" w14:textId="77777777" w:rsidR="00151715" w:rsidRPr="00151715" w:rsidRDefault="00151715" w:rsidP="00151715">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lastRenderedPageBreak/>
        <w:t xml:space="preserve">　　　　　2.</w:t>
      </w:r>
      <w:hyperlink r:id="rId7" w:tgtFrame="_blank" w:history="1">
        <w:r w:rsidRPr="00151715">
          <w:rPr>
            <w:rFonts w:ascii="微软雅黑" w:eastAsia="微软雅黑" w:hAnsi="微软雅黑" w:cs="宋体" w:hint="eastAsia"/>
            <w:color w:val="0000FF"/>
            <w:kern w:val="0"/>
            <w:sz w:val="24"/>
            <w:szCs w:val="24"/>
          </w:rPr>
          <w:t>国家级一流本科专业建设点信息采集表</w:t>
        </w:r>
      </w:hyperlink>
    </w:p>
    <w:p w14:paraId="3E4F7139" w14:textId="77777777" w:rsidR="00151715" w:rsidRPr="00151715" w:rsidRDefault="00151715" w:rsidP="00151715">
      <w:pPr>
        <w:widowControl/>
        <w:shd w:val="clear" w:color="auto" w:fill="FFFFFF"/>
        <w:spacing w:before="100" w:beforeAutospacing="1" w:after="100" w:afterAutospacing="1" w:line="480" w:lineRule="atLeast"/>
        <w:jc w:val="righ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教育部办公厅</w:t>
      </w:r>
    </w:p>
    <w:p w14:paraId="08B77C57" w14:textId="77777777" w:rsidR="00151715" w:rsidRPr="00151715" w:rsidRDefault="00151715" w:rsidP="00151715">
      <w:pPr>
        <w:widowControl/>
        <w:shd w:val="clear" w:color="auto" w:fill="FFFFFF"/>
        <w:spacing w:before="100" w:beforeAutospacing="1" w:after="100" w:afterAutospacing="1" w:line="480" w:lineRule="atLeast"/>
        <w:jc w:val="right"/>
        <w:rPr>
          <w:rFonts w:ascii="微软雅黑" w:eastAsia="微软雅黑" w:hAnsi="微软雅黑" w:cs="宋体"/>
          <w:color w:val="4B4B4B"/>
          <w:kern w:val="0"/>
          <w:sz w:val="24"/>
          <w:szCs w:val="24"/>
        </w:rPr>
      </w:pPr>
      <w:r w:rsidRPr="00151715">
        <w:rPr>
          <w:rFonts w:ascii="微软雅黑" w:eastAsia="微软雅黑" w:hAnsi="微软雅黑" w:cs="宋体" w:hint="eastAsia"/>
          <w:color w:val="4B4B4B"/>
          <w:kern w:val="0"/>
          <w:sz w:val="24"/>
          <w:szCs w:val="24"/>
        </w:rPr>
        <w:t>2019年4月2日</w:t>
      </w:r>
    </w:p>
    <w:p w14:paraId="1A7C13CE" w14:textId="77777777" w:rsidR="00DA1062" w:rsidRDefault="00DA1062"/>
    <w:sectPr w:rsidR="00DA10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B26F86" w14:textId="77777777" w:rsidR="0039243F" w:rsidRDefault="0039243F" w:rsidP="00930918">
      <w:r>
        <w:separator/>
      </w:r>
    </w:p>
  </w:endnote>
  <w:endnote w:type="continuationSeparator" w:id="0">
    <w:p w14:paraId="7AB34F65" w14:textId="77777777" w:rsidR="0039243F" w:rsidRDefault="0039243F" w:rsidP="00930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9AA8B" w14:textId="77777777" w:rsidR="0039243F" w:rsidRDefault="0039243F" w:rsidP="00930918">
      <w:r>
        <w:separator/>
      </w:r>
    </w:p>
  </w:footnote>
  <w:footnote w:type="continuationSeparator" w:id="0">
    <w:p w14:paraId="25438E63" w14:textId="77777777" w:rsidR="0039243F" w:rsidRDefault="0039243F" w:rsidP="009309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54"/>
    <w:rsid w:val="00100854"/>
    <w:rsid w:val="00151715"/>
    <w:rsid w:val="0039243F"/>
    <w:rsid w:val="00930918"/>
    <w:rsid w:val="00DA1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5BE1EE9-8C8F-4591-BCAC-37FA3C24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header"/>
    <w:basedOn w:val="a"/>
    <w:link w:val="a4"/>
    <w:uiPriority w:val="99"/>
    <w:unhideWhenUsed/>
    <w:rsid w:val="009309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30918"/>
    <w:rPr>
      <w:sz w:val="18"/>
      <w:szCs w:val="18"/>
    </w:rPr>
  </w:style>
  <w:style w:type="paragraph" w:styleId="a5">
    <w:name w:val="footer"/>
    <w:basedOn w:val="a"/>
    <w:link w:val="a6"/>
    <w:uiPriority w:val="99"/>
    <w:unhideWhenUsed/>
    <w:rsid w:val="00930918"/>
    <w:pPr>
      <w:tabs>
        <w:tab w:val="center" w:pos="4153"/>
        <w:tab w:val="right" w:pos="8306"/>
      </w:tabs>
      <w:snapToGrid w:val="0"/>
      <w:jc w:val="left"/>
    </w:pPr>
    <w:rPr>
      <w:sz w:val="18"/>
      <w:szCs w:val="18"/>
    </w:rPr>
  </w:style>
  <w:style w:type="character" w:customStyle="1" w:styleId="a6">
    <w:name w:val="页脚 字符"/>
    <w:basedOn w:val="a0"/>
    <w:link w:val="a5"/>
    <w:uiPriority w:val="99"/>
    <w:rsid w:val="0093091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248151">
      <w:bodyDiv w:val="1"/>
      <w:marLeft w:val="0"/>
      <w:marRight w:val="0"/>
      <w:marTop w:val="0"/>
      <w:marBottom w:val="0"/>
      <w:divBdr>
        <w:top w:val="none" w:sz="0" w:space="0" w:color="auto"/>
        <w:left w:val="none" w:sz="0" w:space="0" w:color="auto"/>
        <w:bottom w:val="none" w:sz="0" w:space="0" w:color="auto"/>
        <w:right w:val="none" w:sz="0" w:space="0" w:color="auto"/>
      </w:divBdr>
      <w:divsChild>
        <w:div w:id="585844804">
          <w:marLeft w:val="0"/>
          <w:marRight w:val="0"/>
          <w:marTop w:val="0"/>
          <w:marBottom w:val="0"/>
          <w:divBdr>
            <w:top w:val="none" w:sz="0" w:space="0" w:color="auto"/>
            <w:left w:val="none" w:sz="0" w:space="0" w:color="auto"/>
            <w:bottom w:val="none" w:sz="0" w:space="0" w:color="auto"/>
            <w:right w:val="none" w:sz="0" w:space="0" w:color="auto"/>
          </w:divBdr>
          <w:divsChild>
            <w:div w:id="24256512">
              <w:marLeft w:val="0"/>
              <w:marRight w:val="0"/>
              <w:marTop w:val="0"/>
              <w:marBottom w:val="0"/>
              <w:divBdr>
                <w:top w:val="none" w:sz="0" w:space="0" w:color="auto"/>
                <w:left w:val="none" w:sz="0" w:space="0" w:color="auto"/>
                <w:bottom w:val="none" w:sz="0" w:space="0" w:color="auto"/>
                <w:right w:val="none" w:sz="0" w:space="0" w:color="auto"/>
              </w:divBdr>
              <w:divsChild>
                <w:div w:id="940455239">
                  <w:marLeft w:val="0"/>
                  <w:marRight w:val="0"/>
                  <w:marTop w:val="0"/>
                  <w:marBottom w:val="0"/>
                  <w:divBdr>
                    <w:top w:val="single" w:sz="6" w:space="31" w:color="BCBCBC"/>
                    <w:left w:val="single" w:sz="6" w:space="31" w:color="BCBCBC"/>
                    <w:bottom w:val="single" w:sz="6" w:space="15" w:color="BCBCBC"/>
                    <w:right w:val="single" w:sz="6" w:space="31" w:color="BCBCBC"/>
                  </w:divBdr>
                  <w:divsChild>
                    <w:div w:id="2106143325">
                      <w:marLeft w:val="0"/>
                      <w:marRight w:val="0"/>
                      <w:marTop w:val="0"/>
                      <w:marBottom w:val="0"/>
                      <w:divBdr>
                        <w:top w:val="none" w:sz="0" w:space="0" w:color="auto"/>
                        <w:left w:val="none" w:sz="0" w:space="0" w:color="auto"/>
                        <w:bottom w:val="none" w:sz="0" w:space="0" w:color="auto"/>
                        <w:right w:val="none" w:sz="0" w:space="0" w:color="auto"/>
                      </w:divBdr>
                      <w:divsChild>
                        <w:div w:id="984049952">
                          <w:marLeft w:val="0"/>
                          <w:marRight w:val="0"/>
                          <w:marTop w:val="0"/>
                          <w:marBottom w:val="0"/>
                          <w:divBdr>
                            <w:top w:val="none" w:sz="0" w:space="0" w:color="auto"/>
                            <w:left w:val="none" w:sz="0" w:space="0" w:color="auto"/>
                            <w:bottom w:val="none" w:sz="0" w:space="0" w:color="auto"/>
                            <w:right w:val="none" w:sz="0" w:space="0" w:color="auto"/>
                          </w:divBdr>
                        </w:div>
                        <w:div w:id="32671554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oe.gov.cn/srcsite/A08/s7056/201904/W020190409566973965302.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oe.gov.cn/srcsite/A08/s7056/201904/W020190409566973958144.doc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495</Words>
  <Characters>2822</Characters>
  <Application>Microsoft Office Word</Application>
  <DocSecurity>0</DocSecurity>
  <Lines>23</Lines>
  <Paragraphs>6</Paragraphs>
  <ScaleCrop>false</ScaleCrop>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feng</dc:creator>
  <cp:keywords/>
  <dc:description/>
  <cp:lastModifiedBy>DELL</cp:lastModifiedBy>
  <cp:revision>3</cp:revision>
  <dcterms:created xsi:type="dcterms:W3CDTF">2020-04-01T04:27:00Z</dcterms:created>
  <dcterms:modified xsi:type="dcterms:W3CDTF">2020-10-10T02:55:00Z</dcterms:modified>
</cp:coreProperties>
</file>