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0B45" w14:textId="34E2D986" w:rsidR="007E50C4" w:rsidRPr="002444E9" w:rsidRDefault="002444E9" w:rsidP="000D4B7D">
      <w:pPr>
        <w:rPr>
          <w:rFonts w:ascii="仿宋_GB2312" w:eastAsia="仿宋_GB2312"/>
          <w:bCs/>
          <w:sz w:val="30"/>
          <w:szCs w:val="30"/>
        </w:rPr>
      </w:pPr>
      <w:r w:rsidRPr="002444E9">
        <w:rPr>
          <w:rFonts w:ascii="仿宋_GB2312" w:eastAsia="仿宋_GB2312" w:hint="eastAsia"/>
          <w:bCs/>
          <w:sz w:val="30"/>
          <w:szCs w:val="30"/>
        </w:rPr>
        <w:t>附件3</w:t>
      </w:r>
    </w:p>
    <w:p w14:paraId="5E30D313" w14:textId="46E97F74" w:rsidR="003F3D3C" w:rsidRPr="00C639F9" w:rsidRDefault="00C639F9" w:rsidP="00C639F9">
      <w:pPr>
        <w:pStyle w:val="3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 w:val="0"/>
          <w:sz w:val="36"/>
          <w:szCs w:val="36"/>
        </w:rPr>
        <w:t>关于修订2</w:t>
      </w:r>
      <w:r>
        <w:rPr>
          <w:rFonts w:ascii="方正小标宋简体" w:eastAsia="方正小标宋简体"/>
          <w:b w:val="0"/>
          <w:sz w:val="36"/>
          <w:szCs w:val="36"/>
        </w:rPr>
        <w:t>021</w:t>
      </w:r>
      <w:r>
        <w:rPr>
          <w:rFonts w:ascii="方正小标宋简体" w:eastAsia="方正小标宋简体" w:hint="eastAsia"/>
          <w:b w:val="0"/>
          <w:sz w:val="36"/>
          <w:szCs w:val="36"/>
        </w:rPr>
        <w:t>版《</w:t>
      </w:r>
      <w:r>
        <w:rPr>
          <w:rFonts w:ascii="方正小标宋简体" w:eastAsia="方正小标宋简体" w:hint="eastAsia"/>
          <w:sz w:val="36"/>
          <w:szCs w:val="36"/>
        </w:rPr>
        <w:t>普通高等学校师范类专业认证申请书</w:t>
      </w:r>
      <w:r>
        <w:rPr>
          <w:rFonts w:ascii="方正小标宋简体" w:eastAsia="方正小标宋简体" w:hint="eastAsia"/>
          <w:b w:val="0"/>
          <w:sz w:val="36"/>
          <w:szCs w:val="36"/>
        </w:rPr>
        <w:t>》和</w:t>
      </w:r>
      <w:r w:rsidR="006129A7" w:rsidRPr="00674472">
        <w:rPr>
          <w:rFonts w:ascii="方正小标宋简体" w:eastAsia="方正小标宋简体" w:hint="eastAsia"/>
          <w:sz w:val="36"/>
          <w:szCs w:val="36"/>
        </w:rPr>
        <w:t>《</w:t>
      </w:r>
      <w:r w:rsidRPr="00C639F9">
        <w:rPr>
          <w:rFonts w:ascii="方正小标宋简体" w:eastAsia="方正小标宋简体" w:hint="eastAsia"/>
          <w:sz w:val="36"/>
          <w:szCs w:val="36"/>
        </w:rPr>
        <w:t>普通高等学校师范类专业认证自评报告撰写指导书</w:t>
      </w:r>
      <w:r w:rsidR="006129A7" w:rsidRPr="00674472">
        <w:rPr>
          <w:rFonts w:ascii="方正小标宋简体" w:eastAsia="方正小标宋简体" w:hint="eastAsia"/>
          <w:sz w:val="36"/>
          <w:szCs w:val="36"/>
        </w:rPr>
        <w:t>》</w:t>
      </w:r>
      <w:r>
        <w:rPr>
          <w:rFonts w:ascii="方正小标宋简体" w:eastAsia="方正小标宋简体" w:hint="eastAsia"/>
          <w:sz w:val="36"/>
          <w:szCs w:val="36"/>
        </w:rPr>
        <w:t>的说明</w:t>
      </w:r>
    </w:p>
    <w:p w14:paraId="121E6F2D" w14:textId="77777777" w:rsidR="006129A7" w:rsidRDefault="006129A7">
      <w:pPr>
        <w:rPr>
          <w:rFonts w:ascii="方正小标宋简体" w:eastAsia="方正小标宋简体"/>
          <w:b/>
          <w:sz w:val="36"/>
          <w:szCs w:val="36"/>
        </w:rPr>
      </w:pPr>
    </w:p>
    <w:p w14:paraId="055FF7AE" w14:textId="1BAAEE43" w:rsidR="004249FB" w:rsidRDefault="005F6C92" w:rsidP="000C3245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为进一步改进教育评价，推动师范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类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专业认证</w:t>
      </w:r>
      <w:r w:rsidR="00AD416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聚焦认证重点，强化认证“主线”和“底线”要求，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普通高等学校师范类专业认证学术委员会（以下简称“学术委员会”）组织修订了</w:t>
      </w:r>
      <w:r w:rsidR="004249FB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2021版《普通高等学校师范类专业认证申请书》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（以下简称“申请书”）</w:t>
      </w:r>
      <w:r w:rsidR="004249FB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和《普通高等学校师范类专业认证自评报告撰写指导书》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（以下简称“指导书”）。修订情况说明如下：</w:t>
      </w:r>
    </w:p>
    <w:p w14:paraId="555695C8" w14:textId="04EB2353" w:rsidR="006129A7" w:rsidRPr="000C3245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0C3245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一、为什么</w:t>
      </w:r>
      <w:r w:rsidR="00C639F9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进行修订</w:t>
      </w:r>
    </w:p>
    <w:p w14:paraId="75BD064D" w14:textId="16684BFA" w:rsidR="000B2DF9" w:rsidRPr="000C3245" w:rsidRDefault="000B2DF9" w:rsidP="000C3245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0C3245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1.落实有关文件要求，</w:t>
      </w:r>
      <w:r w:rsidR="007C0248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改进师范教育质量评价</w:t>
      </w:r>
    </w:p>
    <w:p w14:paraId="6FA7A058" w14:textId="646611BC" w:rsidR="000B2DF9" w:rsidRPr="000C3245" w:rsidRDefault="000B2DF9" w:rsidP="005F6C92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《深化新时代教育评价改革总体方案》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明确</w:t>
      </w: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</w:t>
      </w:r>
      <w:r w:rsidR="00176B45" w:rsidRPr="00476BE6">
        <w:rPr>
          <w:rFonts w:ascii="仿宋_GB2312" w:eastAsia="仿宋_GB2312" w:hAnsi="华文仿宋" w:hint="eastAsia"/>
          <w:sz w:val="30"/>
          <w:szCs w:val="30"/>
        </w:rPr>
        <w:t>改进师范院校评价，把办好师范教育作为第一职责，将培养合格教师作为主要考核指标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”</w:t>
      </w: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“改进结果评价，强化过程评价，探索增值评价，健全综合评价”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  <w:r w:rsidR="005F6C92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师范类专业认证需要适应改革要求，推动师范类专业明晰培养标准，强化能力与知识并重的师范生培养，全面推进评价改革，实现过程评价与结果评价结合，健全综合性评价，落实评价结果反馈改进，促进师范生培养质量持续提升。</w:t>
      </w:r>
    </w:p>
    <w:p w14:paraId="65C48FDE" w14:textId="2CC904CE" w:rsidR="004249FB" w:rsidRDefault="000B2DF9" w:rsidP="000C3245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2</w:t>
      </w:r>
      <w:r w:rsidR="000A18AC"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.</w:t>
      </w:r>
      <w:r w:rsidR="004249FB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提高认证工作实效，切实引导专业内涵建设</w:t>
      </w:r>
    </w:p>
    <w:p w14:paraId="204B7DDF" w14:textId="026B6969" w:rsidR="007D788A" w:rsidRPr="00656CB5" w:rsidRDefault="005F6C92" w:rsidP="00656CB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2</w:t>
      </w:r>
      <w:r>
        <w:rPr>
          <w:rFonts w:ascii="仿宋_GB2312" w:eastAsia="仿宋_GB2312" w:hAnsi="黑体"/>
          <w:sz w:val="30"/>
          <w:szCs w:val="30"/>
        </w:rPr>
        <w:t>020</w:t>
      </w:r>
      <w:r>
        <w:rPr>
          <w:rFonts w:ascii="仿宋_GB2312" w:eastAsia="仿宋_GB2312" w:hAnsi="黑体" w:hint="eastAsia"/>
          <w:sz w:val="30"/>
          <w:szCs w:val="30"/>
        </w:rPr>
        <w:t>年，</w:t>
      </w:r>
      <w:r w:rsidR="00656CB5">
        <w:rPr>
          <w:rFonts w:ascii="仿宋_GB2312" w:eastAsia="仿宋_GB2312" w:hAnsi="黑体" w:hint="eastAsia"/>
          <w:sz w:val="30"/>
          <w:szCs w:val="30"/>
        </w:rPr>
        <w:t>在全面</w:t>
      </w:r>
      <w:proofErr w:type="gramStart"/>
      <w:r w:rsidR="00656CB5">
        <w:rPr>
          <w:rFonts w:ascii="仿宋_GB2312" w:eastAsia="仿宋_GB2312" w:hAnsi="黑体" w:hint="eastAsia"/>
          <w:sz w:val="30"/>
          <w:szCs w:val="30"/>
        </w:rPr>
        <w:t>研</w:t>
      </w:r>
      <w:proofErr w:type="gramEnd"/>
      <w:r w:rsidR="00656CB5">
        <w:rPr>
          <w:rFonts w:ascii="仿宋_GB2312" w:eastAsia="仿宋_GB2312" w:hAnsi="黑体" w:hint="eastAsia"/>
          <w:sz w:val="30"/>
          <w:szCs w:val="30"/>
        </w:rPr>
        <w:t>判认证工作形势的基础上，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针对认证内容碎片化、过程形式化的倾向</w:t>
      </w:r>
      <w:r>
        <w:rPr>
          <w:rFonts w:ascii="仿宋_GB2312" w:eastAsia="仿宋_GB2312" w:hAnsi="黑体" w:hint="eastAsia"/>
          <w:sz w:val="30"/>
          <w:szCs w:val="30"/>
        </w:rPr>
        <w:t>，</w:t>
      </w:r>
      <w:r w:rsidR="003343A8">
        <w:rPr>
          <w:rFonts w:ascii="仿宋_GB2312" w:eastAsia="仿宋_GB2312" w:hAnsi="黑体" w:hint="eastAsia"/>
          <w:sz w:val="30"/>
          <w:szCs w:val="30"/>
        </w:rPr>
        <w:t>学术</w:t>
      </w:r>
      <w:r>
        <w:rPr>
          <w:rFonts w:ascii="仿宋_GB2312" w:eastAsia="仿宋_GB2312" w:hAnsi="黑体" w:hint="eastAsia"/>
          <w:sz w:val="30"/>
          <w:szCs w:val="30"/>
        </w:rPr>
        <w:t>委员会</w:t>
      </w:r>
      <w:r w:rsidR="00656CB5">
        <w:rPr>
          <w:rFonts w:ascii="仿宋_GB2312" w:eastAsia="仿宋_GB2312" w:hAnsi="黑体" w:hint="eastAsia"/>
          <w:sz w:val="30"/>
          <w:szCs w:val="30"/>
        </w:rPr>
        <w:t>提出了强化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以“毕业要求”为核心的</w:t>
      </w:r>
      <w:r w:rsidR="00656CB5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“主线”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</w:t>
      </w:r>
      <w:r w:rsidR="00656CB5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和建立基于产出的评价改进机制“底线”要求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要求认证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专业提供“主线”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与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“底线”相关指标点的自评补充材料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引导认证工作聚焦重点，提升认证工作实效。为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固化改革成果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学术委员会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对申请书和指导书进行了修订，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细化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“主线”与“底线”要求，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规范</w:t>
      </w:r>
      <w:r w:rsidR="00656CB5">
        <w:rPr>
          <w:rFonts w:ascii="仿宋_GB2312" w:eastAsia="仿宋_GB2312" w:hAnsi="仿宋"/>
          <w:sz w:val="30"/>
          <w:szCs w:val="30"/>
        </w:rPr>
        <w:t>专业</w:t>
      </w:r>
      <w:r w:rsidR="00656CB5">
        <w:rPr>
          <w:rFonts w:ascii="仿宋_GB2312" w:eastAsia="仿宋_GB2312" w:hAnsi="仿宋" w:hint="eastAsia"/>
          <w:sz w:val="30"/>
          <w:szCs w:val="30"/>
        </w:rPr>
        <w:t>评建工作，</w:t>
      </w:r>
      <w:r w:rsidR="0046141F">
        <w:rPr>
          <w:rFonts w:ascii="仿宋_GB2312" w:eastAsia="仿宋_GB2312" w:hAnsi="仿宋" w:hint="eastAsia"/>
          <w:sz w:val="30"/>
          <w:szCs w:val="30"/>
        </w:rPr>
        <w:t>发挥认证</w:t>
      </w:r>
      <w:proofErr w:type="gramStart"/>
      <w:r w:rsidR="003343A8">
        <w:rPr>
          <w:rFonts w:ascii="仿宋_GB2312" w:eastAsia="仿宋_GB2312" w:hAnsi="仿宋" w:hint="eastAsia"/>
          <w:sz w:val="30"/>
          <w:szCs w:val="30"/>
        </w:rPr>
        <w:t>以评促建</w:t>
      </w:r>
      <w:proofErr w:type="gramEnd"/>
      <w:r w:rsidR="0046141F">
        <w:rPr>
          <w:rFonts w:ascii="仿宋_GB2312" w:eastAsia="仿宋_GB2312" w:hAnsi="仿宋" w:hint="eastAsia"/>
          <w:sz w:val="30"/>
          <w:szCs w:val="30"/>
        </w:rPr>
        <w:t>作用</w:t>
      </w:r>
      <w:r w:rsidR="003343A8">
        <w:rPr>
          <w:rFonts w:ascii="仿宋_GB2312" w:eastAsia="仿宋_GB2312" w:hAnsi="仿宋" w:hint="eastAsia"/>
          <w:sz w:val="30"/>
          <w:szCs w:val="30"/>
        </w:rPr>
        <w:t>，</w:t>
      </w:r>
      <w:r w:rsidR="00656CB5">
        <w:rPr>
          <w:rFonts w:ascii="仿宋_GB2312" w:eastAsia="仿宋_GB2312" w:hAnsi="仿宋" w:hint="eastAsia"/>
          <w:sz w:val="30"/>
          <w:szCs w:val="30"/>
        </w:rPr>
        <w:t>推动</w:t>
      </w:r>
      <w:r w:rsidR="00656CB5">
        <w:rPr>
          <w:rFonts w:ascii="仿宋_GB2312" w:eastAsia="仿宋_GB2312" w:hAnsi="仿宋"/>
          <w:sz w:val="30"/>
          <w:szCs w:val="30"/>
        </w:rPr>
        <w:t>专业内涵建设</w:t>
      </w:r>
      <w:r w:rsidR="007D788A" w:rsidRPr="0065253B">
        <w:rPr>
          <w:rFonts w:ascii="仿宋_GB2312" w:eastAsia="仿宋_GB2312" w:hAnsi="仿宋" w:hint="eastAsia"/>
          <w:sz w:val="30"/>
          <w:szCs w:val="30"/>
        </w:rPr>
        <w:t>。</w:t>
      </w:r>
    </w:p>
    <w:p w14:paraId="4D42F930" w14:textId="77C534A9" w:rsidR="006129A7" w:rsidRPr="00356043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356043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二、</w:t>
      </w:r>
      <w:r w:rsidR="00C639F9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修订后的文件有哪些主要变化</w:t>
      </w:r>
    </w:p>
    <w:p w14:paraId="49B524F5" w14:textId="2D937A69" w:rsidR="004446DD" w:rsidRDefault="00011466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1.</w:t>
      </w:r>
      <w:r w:rsidR="00CE12EE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聚焦重点，</w:t>
      </w: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落实</w:t>
      </w:r>
      <w:r w:rsidR="004446DD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“主线”和“底线”要求</w:t>
      </w:r>
    </w:p>
    <w:p w14:paraId="0975480D" w14:textId="1E07244D" w:rsidR="0057111B" w:rsidRPr="000D4B7D" w:rsidRDefault="0057111B" w:rsidP="003343A8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一是“主线”要求方面，更加明确地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厘清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了培养目标、毕业要求、课程目标的逻辑主线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。针对培养目标对应外部需求、课程设置支撑毕业要求指标点、课程实施与考核支撑课程目标等3个关键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、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薄弱的环节，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提出新要求：（1）说明</w:t>
      </w:r>
      <w:r w:rsidRPr="0057111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调研需求预测与专业培养目标的对应关联关系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（2）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明确课程与相应毕业要求指标点的对应关系；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（3）</w:t>
      </w:r>
      <w:r w:rsidR="00812310" w:rsidRP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说明用于重点支撑各项毕业要求的专业核心课程</w:t>
      </w:r>
      <w:r w:rsidR="0081231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和重要实践环节的关键支撑作用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（4）</w:t>
      </w:r>
      <w:r w:rsidR="006324E1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依据支撑毕业要求指标点，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修订教学大纲</w:t>
      </w:r>
      <w:r w:rsidR="00545C29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，形成教学内容、方法和考核与课程目标的对应支撑关系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（5）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按照“产出导向”模式开展实践教学，</w:t>
      </w:r>
      <w:r w:rsidR="000D4B7D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实现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实践教学课程化。</w:t>
      </w:r>
    </w:p>
    <w:p w14:paraId="2C9E7831" w14:textId="21EF4FAB" w:rsidR="000D3600" w:rsidRDefault="000D3600" w:rsidP="006D653B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二是“底线”要求方面，</w:t>
      </w:r>
      <w:r w:rsidR="006324E1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强调</w:t>
      </w:r>
      <w:r w:rsidRPr="000D4B7D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建立面向产出评价改进机制的“底线”要求是专业达到认证合格要</w:t>
      </w:r>
      <w:r w:rsidRPr="000C3245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求的必要条件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。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一方面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，</w:t>
      </w:r>
      <w:r w:rsidR="000D4B7D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将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lastRenderedPageBreak/>
        <w:t>“</w:t>
      </w:r>
      <w:r w:rsidRPr="000D3600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面向产出的课程目标达成评价机制和毕业要求达成评价机制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”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作为申请受理“门槛”。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另一方面，要求</w:t>
      </w:r>
      <w:r w:rsidR="001504B2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建立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学校、院系两级的质量保障制度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，并</w:t>
      </w:r>
      <w:r w:rsidR="001504B2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建立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保证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产出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评价结果用于专业持续改进的制度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，说明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基于培养目标、毕业要求、课程目标达成情况评价结果而开展的持续改进工作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</w:p>
    <w:p w14:paraId="7FA49BFB" w14:textId="224BD84B" w:rsidR="00CE12EE" w:rsidRDefault="00CE12EE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微软雅黑"/>
          <w:b/>
          <w:sz w:val="30"/>
          <w:szCs w:val="30"/>
          <w:shd w:val="clear" w:color="auto" w:fill="FFFFFF"/>
        </w:rPr>
        <w:t>.</w:t>
      </w: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以课程评价为突破，</w:t>
      </w:r>
      <w:r w:rsidR="00805C1B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着力建设</w:t>
      </w:r>
      <w:r w:rsidR="00E64C6C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面向</w:t>
      </w:r>
      <w:r w:rsidR="003A6DB8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产出的评价机制</w:t>
      </w:r>
    </w:p>
    <w:p w14:paraId="5A007C39" w14:textId="4540B024" w:rsidR="00E64C6C" w:rsidRPr="000F3674" w:rsidRDefault="000077AE" w:rsidP="00E64C6C">
      <w:pPr>
        <w:ind w:firstLineChars="200" w:firstLine="600"/>
        <w:rPr>
          <w:rFonts w:ascii="仿宋_GB2312" w:eastAsia="仿宋_GB2312" w:hAnsi="微软雅黑"/>
          <w:bCs/>
          <w:sz w:val="30"/>
          <w:szCs w:val="30"/>
          <w:shd w:val="clear" w:color="auto" w:fill="FFFFFF"/>
        </w:rPr>
      </w:pPr>
      <w:r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课程是高校教学的基本单元，也是产出导向教育模式改革的突破口和着力点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。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新版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申请书要求专业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提供6-8门课程的课程目标达成情况评价报告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。</w:t>
      </w:r>
      <w:r w:rsidR="000D4B7D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新版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指导书</w:t>
      </w:r>
      <w:r w:rsidR="00F909AE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要求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在课程考核评价中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建立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能力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与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知识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并重，结果考核</w:t>
      </w:r>
      <w:r w:rsid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与过程考核相结合的课程考核体系。强调课程目标评价审核的制度和证据，</w:t>
      </w:r>
      <w:r w:rsidR="000D4B7D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要求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重点审核对应课程目标、考核内容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、考核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方法</w:t>
      </w:r>
      <w:r w:rsid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的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一致性。</w:t>
      </w:r>
    </w:p>
    <w:p w14:paraId="6B4F7607" w14:textId="7E5A1700" w:rsidR="00CE12EE" w:rsidRPr="00356043" w:rsidRDefault="00CE12EE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微软雅黑"/>
          <w:b/>
          <w:sz w:val="30"/>
          <w:szCs w:val="30"/>
          <w:shd w:val="clear" w:color="auto" w:fill="FFFFFF"/>
        </w:rPr>
        <w:t>.</w:t>
      </w: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明确区分第二级、第三级认证要求</w:t>
      </w:r>
    </w:p>
    <w:p w14:paraId="3F86CA4A" w14:textId="46FBF26B" w:rsidR="002367A0" w:rsidRDefault="00F909AE" w:rsidP="000C3245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以</w:t>
      </w:r>
      <w:r w:rsidRPr="00F909A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“学会教学”“学会发展”两个维度六项毕业要求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为核心，在第三级认证中重点考查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高于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第二级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认证要求指标的达成情况。在申请书中，要求提供支持</w:t>
      </w:r>
      <w:r w:rsidR="006324E1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相关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毕业要求课程的</w:t>
      </w:r>
      <w:r w:rsidR="002367A0" w:rsidRP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课程目标达成情况评价报告，包括支撑知识整合、教学能力培养的课程各2门，支撑技术融合、国际视野、反思研究培养的课程各1门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，实践课程1门</w:t>
      </w:r>
      <w:r w:rsidR="002367A0" w:rsidRP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在指导书中，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要求说明对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六项</w:t>
      </w:r>
      <w:r w:rsidR="006324E1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相关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毕业要求内涵的理解、指标点分解的依据，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对其</w:t>
      </w:r>
      <w:r w:rsidR="006324E1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形成高支撑的课程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，并对有关课程的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课程目标达成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评价及改进情况进行说明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</w:p>
    <w:p w14:paraId="16FB3929" w14:textId="28986584" w:rsidR="006129A7" w:rsidRPr="00356043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356043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三、</w:t>
      </w:r>
      <w:r w:rsidR="00000286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修订文件的使用</w:t>
      </w:r>
    </w:p>
    <w:p w14:paraId="41643469" w14:textId="77777777" w:rsidR="00E17708" w:rsidRDefault="00CE12EE" w:rsidP="00E1770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1.</w:t>
      </w:r>
      <w:r w:rsidRPr="002616BE">
        <w:rPr>
          <w:rFonts w:ascii="仿宋_GB2312" w:eastAsia="仿宋_GB2312" w:hint="eastAsia"/>
          <w:sz w:val="30"/>
          <w:szCs w:val="30"/>
        </w:rPr>
        <w:t>2021年申请参加师范类专业第二级、第三级认证的专业，</w:t>
      </w:r>
      <w:r w:rsidR="00E17708">
        <w:rPr>
          <w:rFonts w:ascii="仿宋_GB2312" w:eastAsia="仿宋_GB2312" w:hint="eastAsia"/>
          <w:sz w:val="30"/>
          <w:szCs w:val="30"/>
        </w:rPr>
        <w:t>须使用2</w:t>
      </w:r>
      <w:r w:rsidR="00E17708">
        <w:rPr>
          <w:rFonts w:ascii="仿宋_GB2312" w:eastAsia="仿宋_GB2312"/>
          <w:sz w:val="30"/>
          <w:szCs w:val="30"/>
        </w:rPr>
        <w:t>021</w:t>
      </w:r>
      <w:r w:rsidR="00E17708">
        <w:rPr>
          <w:rFonts w:ascii="仿宋_GB2312" w:eastAsia="仿宋_GB2312" w:hint="eastAsia"/>
          <w:sz w:val="30"/>
          <w:szCs w:val="30"/>
        </w:rPr>
        <w:t>版申请书，并参照2</w:t>
      </w:r>
      <w:r w:rsidR="00E17708">
        <w:rPr>
          <w:rFonts w:ascii="仿宋_GB2312" w:eastAsia="仿宋_GB2312"/>
          <w:sz w:val="30"/>
          <w:szCs w:val="30"/>
        </w:rPr>
        <w:t>021</w:t>
      </w:r>
      <w:proofErr w:type="gramStart"/>
      <w:r w:rsidR="00E17708">
        <w:rPr>
          <w:rFonts w:ascii="仿宋_GB2312" w:eastAsia="仿宋_GB2312" w:hint="eastAsia"/>
          <w:sz w:val="30"/>
          <w:szCs w:val="30"/>
        </w:rPr>
        <w:t>版指导</w:t>
      </w:r>
      <w:proofErr w:type="gramEnd"/>
      <w:r w:rsidR="00E17708">
        <w:rPr>
          <w:rFonts w:ascii="仿宋_GB2312" w:eastAsia="仿宋_GB2312" w:hint="eastAsia"/>
          <w:sz w:val="30"/>
          <w:szCs w:val="30"/>
        </w:rPr>
        <w:t>书要求开展自评工作</w:t>
      </w:r>
      <w:r w:rsidRPr="002616BE">
        <w:rPr>
          <w:rFonts w:ascii="仿宋_GB2312" w:eastAsia="仿宋_GB2312" w:hint="eastAsia"/>
          <w:sz w:val="30"/>
          <w:szCs w:val="30"/>
        </w:rPr>
        <w:t>。</w:t>
      </w:r>
    </w:p>
    <w:p w14:paraId="53CAB31F" w14:textId="32B1A2CE" w:rsidR="00CE12EE" w:rsidRDefault="00E17708" w:rsidP="00E1770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="00CE12EE">
        <w:rPr>
          <w:rFonts w:ascii="仿宋_GB2312" w:eastAsia="仿宋_GB2312" w:hint="eastAsia"/>
          <w:sz w:val="30"/>
          <w:szCs w:val="30"/>
        </w:rPr>
        <w:t>在2</w:t>
      </w:r>
      <w:r w:rsidR="00CE12EE">
        <w:rPr>
          <w:rFonts w:ascii="仿宋_GB2312" w:eastAsia="仿宋_GB2312"/>
          <w:sz w:val="30"/>
          <w:szCs w:val="30"/>
        </w:rPr>
        <w:t>021</w:t>
      </w:r>
      <w:proofErr w:type="gramStart"/>
      <w:r w:rsidR="00CE12EE">
        <w:rPr>
          <w:rFonts w:ascii="仿宋_GB2312" w:eastAsia="仿宋_GB2312" w:hint="eastAsia"/>
          <w:sz w:val="30"/>
          <w:szCs w:val="30"/>
        </w:rPr>
        <w:t>版指导</w:t>
      </w:r>
      <w:proofErr w:type="gramEnd"/>
      <w:r w:rsidR="00CE12EE">
        <w:rPr>
          <w:rFonts w:ascii="仿宋_GB2312" w:eastAsia="仿宋_GB2312" w:hint="eastAsia"/>
          <w:sz w:val="30"/>
          <w:szCs w:val="30"/>
        </w:rPr>
        <w:t>书正式印发使用前（以印发日期为准），</w:t>
      </w:r>
      <w:r w:rsidR="00CE12EE" w:rsidRPr="002616BE">
        <w:rPr>
          <w:rFonts w:ascii="仿宋_GB2312" w:eastAsia="仿宋_GB2312" w:hint="eastAsia"/>
          <w:sz w:val="30"/>
          <w:szCs w:val="30"/>
        </w:rPr>
        <w:t>已经</w:t>
      </w:r>
      <w:r>
        <w:rPr>
          <w:rFonts w:ascii="仿宋_GB2312" w:eastAsia="仿宋_GB2312" w:hint="eastAsia"/>
          <w:sz w:val="30"/>
          <w:szCs w:val="30"/>
        </w:rPr>
        <w:t>在</w:t>
      </w:r>
      <w:r w:rsidR="00CE12EE" w:rsidRPr="002616BE">
        <w:rPr>
          <w:rFonts w:ascii="仿宋_GB2312" w:eastAsia="仿宋_GB2312" w:hint="eastAsia"/>
          <w:sz w:val="30"/>
          <w:szCs w:val="30"/>
        </w:rPr>
        <w:t>师范类专业认证管理信息系统</w:t>
      </w:r>
      <w:r>
        <w:rPr>
          <w:rFonts w:ascii="仿宋_GB2312" w:eastAsia="仿宋_GB2312" w:hint="eastAsia"/>
          <w:sz w:val="30"/>
          <w:szCs w:val="30"/>
        </w:rPr>
        <w:t>提交</w:t>
      </w:r>
      <w:r w:rsidR="00CE12EE" w:rsidRPr="002616BE">
        <w:rPr>
          <w:rFonts w:ascii="仿宋_GB2312" w:eastAsia="仿宋_GB2312" w:hint="eastAsia"/>
          <w:sz w:val="30"/>
          <w:szCs w:val="30"/>
        </w:rPr>
        <w:t>自评材料</w:t>
      </w:r>
      <w:r>
        <w:rPr>
          <w:rFonts w:ascii="仿宋_GB2312" w:eastAsia="仿宋_GB2312" w:hint="eastAsia"/>
          <w:sz w:val="30"/>
          <w:szCs w:val="30"/>
        </w:rPr>
        <w:t>的专业，仍可用已提交的自评材料完成后续认证工作，无需按照新版指导书</w:t>
      </w:r>
      <w:r w:rsidR="007A58BC">
        <w:rPr>
          <w:rFonts w:ascii="仿宋_GB2312" w:eastAsia="仿宋_GB2312" w:hint="eastAsia"/>
          <w:sz w:val="30"/>
          <w:szCs w:val="30"/>
        </w:rPr>
        <w:t>重新提交自评材料</w:t>
      </w:r>
      <w:r w:rsidR="00CE12EE">
        <w:rPr>
          <w:rFonts w:ascii="仿宋_GB2312" w:eastAsia="仿宋_GB2312" w:hint="eastAsia"/>
          <w:sz w:val="30"/>
          <w:szCs w:val="30"/>
        </w:rPr>
        <w:t>。</w:t>
      </w:r>
    </w:p>
    <w:p w14:paraId="63EB0216" w14:textId="3D42AC88" w:rsidR="00011466" w:rsidRPr="00293274" w:rsidRDefault="007E50C4" w:rsidP="0029327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000286">
        <w:rPr>
          <w:rFonts w:ascii="仿宋_GB2312" w:eastAsia="仿宋_GB2312"/>
          <w:sz w:val="30"/>
          <w:szCs w:val="30"/>
        </w:rPr>
        <w:t>.</w:t>
      </w:r>
      <w:r w:rsidR="00000286">
        <w:rPr>
          <w:rFonts w:ascii="仿宋_GB2312" w:eastAsia="仿宋_GB2312" w:hint="eastAsia"/>
          <w:sz w:val="30"/>
          <w:szCs w:val="30"/>
        </w:rPr>
        <w:t>申请书和指导书的有关内容</w:t>
      </w:r>
      <w:r w:rsidR="009A3392">
        <w:rPr>
          <w:rFonts w:ascii="仿宋_GB2312" w:eastAsia="仿宋_GB2312" w:hint="eastAsia"/>
          <w:sz w:val="30"/>
          <w:szCs w:val="30"/>
        </w:rPr>
        <w:t>由</w:t>
      </w:r>
      <w:r w:rsidR="00000286">
        <w:rPr>
          <w:rFonts w:ascii="仿宋_GB2312" w:eastAsia="仿宋_GB2312" w:hint="eastAsia"/>
          <w:sz w:val="30"/>
          <w:szCs w:val="30"/>
        </w:rPr>
        <w:t>学术委员会负责解释。</w:t>
      </w:r>
      <w:r w:rsidR="0000109E">
        <w:rPr>
          <w:rFonts w:ascii="仿宋_GB2312" w:eastAsia="仿宋_GB2312" w:hint="eastAsia"/>
          <w:sz w:val="30"/>
          <w:szCs w:val="30"/>
        </w:rPr>
        <w:t xml:space="preserve"> </w:t>
      </w:r>
    </w:p>
    <w:sectPr w:rsidR="00011466" w:rsidRPr="0029327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6897" w14:textId="77777777" w:rsidR="00424D97" w:rsidRDefault="00424D97" w:rsidP="006129A7">
      <w:r>
        <w:separator/>
      </w:r>
    </w:p>
  </w:endnote>
  <w:endnote w:type="continuationSeparator" w:id="0">
    <w:p w14:paraId="67D0FF0F" w14:textId="77777777" w:rsidR="00424D97" w:rsidRDefault="00424D97" w:rsidP="006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671742"/>
      <w:docPartObj>
        <w:docPartGallery w:val="Page Numbers (Bottom of Page)"/>
        <w:docPartUnique/>
      </w:docPartObj>
    </w:sdtPr>
    <w:sdtContent>
      <w:p w14:paraId="3604A562" w14:textId="77777777" w:rsidR="009D2EC0" w:rsidRDefault="009D2E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5D" w:rsidRPr="00717F5D">
          <w:rPr>
            <w:noProof/>
            <w:lang w:val="zh-CN"/>
          </w:rPr>
          <w:t>4</w:t>
        </w:r>
        <w:r>
          <w:fldChar w:fldCharType="end"/>
        </w:r>
      </w:p>
    </w:sdtContent>
  </w:sdt>
  <w:p w14:paraId="6B496396" w14:textId="77777777" w:rsidR="009D2EC0" w:rsidRDefault="009D2E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F778" w14:textId="77777777" w:rsidR="00424D97" w:rsidRDefault="00424D97" w:rsidP="006129A7">
      <w:r>
        <w:separator/>
      </w:r>
    </w:p>
  </w:footnote>
  <w:footnote w:type="continuationSeparator" w:id="0">
    <w:p w14:paraId="00B1EC68" w14:textId="77777777" w:rsidR="00424D97" w:rsidRDefault="00424D97" w:rsidP="006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8A2B" w14:textId="77777777" w:rsidR="00670327" w:rsidRDefault="00670327" w:rsidP="006703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E"/>
    <w:rsid w:val="00000286"/>
    <w:rsid w:val="0000109E"/>
    <w:rsid w:val="000077AE"/>
    <w:rsid w:val="0001057A"/>
    <w:rsid w:val="00011466"/>
    <w:rsid w:val="00055BE0"/>
    <w:rsid w:val="000A18AC"/>
    <w:rsid w:val="000B2DF9"/>
    <w:rsid w:val="000C3245"/>
    <w:rsid w:val="000D3600"/>
    <w:rsid w:val="000D4B7D"/>
    <w:rsid w:val="000F23BE"/>
    <w:rsid w:val="000F3674"/>
    <w:rsid w:val="000F437B"/>
    <w:rsid w:val="001504B2"/>
    <w:rsid w:val="00166D75"/>
    <w:rsid w:val="00176B45"/>
    <w:rsid w:val="00217FA8"/>
    <w:rsid w:val="002367A0"/>
    <w:rsid w:val="002444E9"/>
    <w:rsid w:val="00293274"/>
    <w:rsid w:val="002A34EF"/>
    <w:rsid w:val="00321B64"/>
    <w:rsid w:val="00326951"/>
    <w:rsid w:val="003343A8"/>
    <w:rsid w:val="00356043"/>
    <w:rsid w:val="003A6DB8"/>
    <w:rsid w:val="003F3D3C"/>
    <w:rsid w:val="004249FB"/>
    <w:rsid w:val="00424D97"/>
    <w:rsid w:val="004446DD"/>
    <w:rsid w:val="004534FA"/>
    <w:rsid w:val="0046141F"/>
    <w:rsid w:val="004C4F2B"/>
    <w:rsid w:val="004E51EF"/>
    <w:rsid w:val="00514A47"/>
    <w:rsid w:val="0053235D"/>
    <w:rsid w:val="00532F70"/>
    <w:rsid w:val="00545C29"/>
    <w:rsid w:val="0057111B"/>
    <w:rsid w:val="005727EF"/>
    <w:rsid w:val="005D051C"/>
    <w:rsid w:val="005F6C92"/>
    <w:rsid w:val="006129A7"/>
    <w:rsid w:val="006324E1"/>
    <w:rsid w:val="00656CB5"/>
    <w:rsid w:val="00670327"/>
    <w:rsid w:val="006C1E7B"/>
    <w:rsid w:val="006D653B"/>
    <w:rsid w:val="006F353D"/>
    <w:rsid w:val="00717F5D"/>
    <w:rsid w:val="0077300C"/>
    <w:rsid w:val="007A58BC"/>
    <w:rsid w:val="007C0248"/>
    <w:rsid w:val="007C7751"/>
    <w:rsid w:val="007D788A"/>
    <w:rsid w:val="007E50C4"/>
    <w:rsid w:val="007F51BE"/>
    <w:rsid w:val="00805C1B"/>
    <w:rsid w:val="00812310"/>
    <w:rsid w:val="00860486"/>
    <w:rsid w:val="0086155E"/>
    <w:rsid w:val="00871835"/>
    <w:rsid w:val="008A7E1A"/>
    <w:rsid w:val="009425DE"/>
    <w:rsid w:val="009A3392"/>
    <w:rsid w:val="009D2EC0"/>
    <w:rsid w:val="009D79B0"/>
    <w:rsid w:val="00A911D0"/>
    <w:rsid w:val="00A930FE"/>
    <w:rsid w:val="00AD416E"/>
    <w:rsid w:val="00B30876"/>
    <w:rsid w:val="00B40C69"/>
    <w:rsid w:val="00C639F9"/>
    <w:rsid w:val="00C82E03"/>
    <w:rsid w:val="00CD7545"/>
    <w:rsid w:val="00CE12EE"/>
    <w:rsid w:val="00D62EC2"/>
    <w:rsid w:val="00D654B7"/>
    <w:rsid w:val="00DA056E"/>
    <w:rsid w:val="00E17708"/>
    <w:rsid w:val="00E53901"/>
    <w:rsid w:val="00E60C1A"/>
    <w:rsid w:val="00E64C6C"/>
    <w:rsid w:val="00EA06C0"/>
    <w:rsid w:val="00EA2213"/>
    <w:rsid w:val="00EC157D"/>
    <w:rsid w:val="00F01403"/>
    <w:rsid w:val="00F6062D"/>
    <w:rsid w:val="00F909AE"/>
    <w:rsid w:val="00FB43E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D6E3E"/>
  <w15:chartTrackingRefBased/>
  <w15:docId w15:val="{ECE2BC52-DD9E-466E-B886-7EB592C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C639F9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9A7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639F9"/>
    <w:rPr>
      <w:rFonts w:ascii="Times New Roman" w:eastAsia="宋体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1500</Characters>
  <Application>Microsoft Office Word</Application>
  <DocSecurity>0</DocSecurity>
  <Lines>12</Lines>
  <Paragraphs>3</Paragraphs>
  <ScaleCrop>false</ScaleCrop>
  <Company>PGZX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HEJJ</dc:creator>
  <cp:keywords/>
  <dc:description/>
  <cp:lastModifiedBy>文励 何</cp:lastModifiedBy>
  <cp:revision>2</cp:revision>
  <cp:lastPrinted>2021-01-04T12:29:00Z</cp:lastPrinted>
  <dcterms:created xsi:type="dcterms:W3CDTF">2023-06-07T08:22:00Z</dcterms:created>
  <dcterms:modified xsi:type="dcterms:W3CDTF">2023-06-07T08:22:00Z</dcterms:modified>
</cp:coreProperties>
</file>