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jc w:val="left"/>
        <w:rPr>
          <w:b w:val="0"/>
          <w:bCs/>
        </w:rPr>
      </w:pPr>
      <w:r>
        <w:rPr>
          <w:rFonts w:hint="eastAsia"/>
          <w:b w:val="0"/>
          <w:bCs/>
        </w:rPr>
        <w:t>附件1.</w:t>
      </w:r>
    </w:p>
    <w:p>
      <w:pPr>
        <w:pStyle w:val="2"/>
        <w:spacing w:after="312" w:afterLines="100"/>
        <w:ind w:firstLine="0" w:firstLineChars="0"/>
        <w:jc w:val="center"/>
        <w:rPr>
          <w:rFonts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评选条件及评价指标</w:t>
      </w:r>
    </w:p>
    <w:p>
      <w:pPr>
        <w:pStyle w:val="2"/>
        <w:numPr>
          <w:ilvl w:val="255"/>
          <w:numId w:val="0"/>
        </w:numPr>
        <w:spacing w:before="312" w:beforeLines="100"/>
        <w:ind w:firstLine="643"/>
      </w:pPr>
      <w:r>
        <w:rPr>
          <w:rFonts w:hint="eastAsia"/>
        </w:rPr>
        <w:t>一、北京市高等学校教学名师奖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1.忠于党和人民的教育事业，师德高尚，为人师表。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2.长期从事一线教学工作，教学效果好，学生评价高，同行专家认可的专任教师。优先考虑长期承担基础课教学任务和为低年级学生授课的优秀教师。已退休参评教师须提供返聘证明。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高级专业技术职称；非现任校级领导。教学名师奖候选人应具有15年以上（含15年）高等教育教学经历；青年教学名师奖候选人应具有8年以上（含8年）高等教育教学经历且年龄不超过45岁（含45岁），统计时间均</w:t>
      </w:r>
      <w:r>
        <w:rPr>
          <w:rFonts w:hint="eastAsia" w:ascii="仿宋_GB2312" w:hAnsi="仿宋_GB2312" w:eastAsia="仿宋_GB2312" w:cs="仿宋_GB2312"/>
          <w:color w:val="auto"/>
          <w:sz w:val="32"/>
          <w:szCs w:val="32"/>
        </w:rPr>
        <w:t>截止到</w:t>
      </w:r>
      <w:r>
        <w:rPr>
          <w:rFonts w:hint="eastAsia" w:ascii="仿宋_GB2312" w:hAnsi="仿宋_GB2312" w:eastAsia="仿宋_GB2312" w:cs="仿宋_GB2312"/>
          <w:color w:val="auto"/>
          <w:sz w:val="32"/>
          <w:szCs w:val="32"/>
          <w:lang w:val="en-US" w:eastAsia="zh-CN"/>
        </w:rPr>
        <w:t>申报材料截止日期前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教学名师奖和青年教学名师奖候选人近三年（202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年度或202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学年度）承担的本科生实际课堂教学任务平均不少于64学时／年。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4.北京市教学名师奖候选人一般应为校级教学名师，青年教学名师奖申报不作要求。往届北京市教学名师奖获得者不再参加评选，往届北京市青年教学名师奖获得者不再参加本次青年教学名师奖评选。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5.综合评价指标和授课评价指标详见附件1-1、2、3。</w:t>
      </w:r>
    </w:p>
    <w:p>
      <w:pPr>
        <w:pStyle w:val="2"/>
        <w:spacing w:before="312" w:beforeLines="100"/>
        <w:ind w:firstLine="643" w:firstLineChars="0"/>
      </w:pPr>
      <w:r>
        <w:rPr>
          <w:rFonts w:hint="eastAsia"/>
        </w:rPr>
        <w:t>二、北京高校优秀本科育人团队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1.负责人才培养的教研室、研究所、实验室、教学基地、实训基地等基层教学组织。</w:t>
      </w:r>
      <w:bookmarkStart w:id="0" w:name="_GoBack"/>
      <w:bookmarkEnd w:id="0"/>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育人效果显著。团队能够落实立德树人根本任务，人才培养契合国家和北京市经济社会发展需求，教学理念和手段先进，教学内容完善，教学方法科学，重视实践创新教育，能够引导学生进行研究性学习和创新性实践，培养学生发现、分析和解决问题的兴趣和能力，学生受益面广。团队能够深入开展本科教育教学改革，不断提升人才培养质量，改革成果已经显现，成果经验具有可推广性。</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团队结构合理。团队带头人应为本专业领域在职教授，长期从事本科生教学工作，具有先进的教育理念，师德高尚、治学严谨，课程思政建设成效显著，具有很好的教育教学能力和组织领导能力。团队全体成员应爱岗敬业、关爱学生，整体育人效果突出。团队应具有明确的发展目标、良好的合作精神和梯队结构，年龄、职称和知识结构合理，在指导和激励中青年教师提高专业素质和业务水平方面成效显著。</w:t>
      </w:r>
    </w:p>
    <w:p>
      <w:r>
        <w:br w:type="page"/>
      </w:r>
    </w:p>
    <w:p>
      <w:pPr>
        <w:rPr>
          <w:rFonts w:ascii="仿宋_GB2312" w:hAnsi="宋体" w:eastAsia="仿宋_GB2312" w:cs="宋体"/>
          <w:kern w:val="0"/>
          <w:sz w:val="28"/>
          <w:szCs w:val="22"/>
        </w:rPr>
      </w:pPr>
      <w:r>
        <w:rPr>
          <w:rFonts w:hint="eastAsia" w:ascii="仿宋_GB2312" w:hAnsi="宋体" w:eastAsia="仿宋_GB2312" w:cs="宋体"/>
          <w:kern w:val="0"/>
          <w:sz w:val="28"/>
          <w:szCs w:val="22"/>
        </w:rPr>
        <w:t>附件1-1</w:t>
      </w:r>
    </w:p>
    <w:tbl>
      <w:tblPr>
        <w:tblStyle w:val="7"/>
        <w:tblW w:w="10288" w:type="dxa"/>
        <w:jc w:val="center"/>
        <w:tblLayout w:type="autofit"/>
        <w:tblCellMar>
          <w:top w:w="0" w:type="dxa"/>
          <w:left w:w="108" w:type="dxa"/>
          <w:bottom w:w="0" w:type="dxa"/>
          <w:right w:w="108" w:type="dxa"/>
        </w:tblCellMar>
      </w:tblPr>
      <w:tblGrid>
        <w:gridCol w:w="850"/>
        <w:gridCol w:w="1136"/>
        <w:gridCol w:w="7644"/>
        <w:gridCol w:w="658"/>
      </w:tblGrid>
      <w:tr>
        <w:tblPrEx>
          <w:tblCellMar>
            <w:top w:w="0" w:type="dxa"/>
            <w:left w:w="108" w:type="dxa"/>
            <w:bottom w:w="0" w:type="dxa"/>
            <w:right w:w="108" w:type="dxa"/>
          </w:tblCellMar>
        </w:tblPrEx>
        <w:trPr>
          <w:trHeight w:val="600" w:hRule="atLeast"/>
          <w:jc w:val="center"/>
        </w:trPr>
        <w:tc>
          <w:tcPr>
            <w:tcW w:w="10288" w:type="dxa"/>
            <w:gridSpan w:val="4"/>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北京市高等学校教学名师奖综合评价指标（本科）</w:t>
            </w:r>
          </w:p>
        </w:tc>
      </w:tr>
      <w:tr>
        <w:tblPrEx>
          <w:tblCellMar>
            <w:top w:w="0" w:type="dxa"/>
            <w:left w:w="108" w:type="dxa"/>
            <w:bottom w:w="0" w:type="dxa"/>
            <w:right w:w="108" w:type="dxa"/>
          </w:tblCellMar>
        </w:tblPrEx>
        <w:trPr>
          <w:trHeight w:val="212" w:hRule="atLeast"/>
          <w:jc w:val="center"/>
        </w:trPr>
        <w:tc>
          <w:tcPr>
            <w:tcW w:w="1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b/>
                <w:bCs/>
                <w:kern w:val="0"/>
                <w:sz w:val="22"/>
                <w:szCs w:val="21"/>
              </w:rPr>
            </w:pPr>
            <w:r>
              <w:rPr>
                <w:rFonts w:hint="eastAsia" w:ascii="仿宋_GB2312" w:hAnsi="宋体" w:eastAsia="仿宋_GB2312" w:cs="宋体"/>
                <w:b/>
                <w:bCs/>
                <w:kern w:val="0"/>
                <w:sz w:val="22"/>
                <w:szCs w:val="22"/>
              </w:rPr>
              <w:t>评价指标</w:t>
            </w:r>
          </w:p>
        </w:tc>
        <w:tc>
          <w:tcPr>
            <w:tcW w:w="764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b/>
                <w:bCs/>
                <w:kern w:val="0"/>
                <w:sz w:val="22"/>
                <w:szCs w:val="21"/>
              </w:rPr>
            </w:pPr>
            <w:r>
              <w:rPr>
                <w:rFonts w:hint="eastAsia" w:ascii="仿宋_GB2312" w:hAnsi="宋体" w:eastAsia="仿宋_GB2312" w:cs="宋体"/>
                <w:b/>
                <w:bCs/>
                <w:kern w:val="0"/>
                <w:sz w:val="22"/>
                <w:szCs w:val="22"/>
              </w:rPr>
              <w:t>评 价 内 容</w:t>
            </w:r>
          </w:p>
        </w:tc>
        <w:tc>
          <w:tcPr>
            <w:tcW w:w="65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b/>
                <w:bCs/>
                <w:kern w:val="0"/>
                <w:sz w:val="22"/>
                <w:szCs w:val="21"/>
              </w:rPr>
            </w:pPr>
            <w:r>
              <w:rPr>
                <w:rFonts w:hint="eastAsia" w:ascii="仿宋_GB2312" w:hAnsi="宋体" w:eastAsia="仿宋_GB2312" w:cs="宋体"/>
                <w:b/>
                <w:bCs/>
                <w:kern w:val="0"/>
                <w:sz w:val="22"/>
                <w:szCs w:val="22"/>
              </w:rPr>
              <w:t>分值</w:t>
            </w:r>
          </w:p>
        </w:tc>
      </w:tr>
      <w:tr>
        <w:tblPrEx>
          <w:tblCellMar>
            <w:top w:w="0" w:type="dxa"/>
            <w:left w:w="108" w:type="dxa"/>
            <w:bottom w:w="0" w:type="dxa"/>
            <w:right w:w="108" w:type="dxa"/>
          </w:tblCellMar>
        </w:tblPrEx>
        <w:trPr>
          <w:trHeight w:val="900" w:hRule="atLeast"/>
          <w:jc w:val="center"/>
        </w:trPr>
        <w:tc>
          <w:tcPr>
            <w:tcW w:w="1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1．师德师风</w:t>
            </w:r>
          </w:p>
        </w:tc>
        <w:tc>
          <w:tcPr>
            <w:tcW w:w="7644" w:type="dxa"/>
            <w:tcBorders>
              <w:top w:val="nil"/>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2"/>
                <w:szCs w:val="21"/>
              </w:rPr>
            </w:pPr>
            <w:r>
              <w:rPr>
                <w:rFonts w:hint="eastAsia" w:ascii="仿宋_GB2312" w:hAnsi="宋体" w:eastAsia="仿宋_GB2312" w:cs="宋体"/>
                <w:kern w:val="0"/>
                <w:sz w:val="22"/>
                <w:szCs w:val="22"/>
              </w:rPr>
              <w:t>1.政治立场坚定，把传授知识、培养能力同塑造学生正确的世界观、人生观、价值观结合起来；</w:t>
            </w:r>
          </w:p>
          <w:p>
            <w:pPr>
              <w:widowControl/>
              <w:spacing w:line="320" w:lineRule="exact"/>
              <w:rPr>
                <w:rFonts w:ascii="仿宋_GB2312" w:hAnsi="宋体" w:eastAsia="仿宋_GB2312" w:cs="宋体"/>
                <w:kern w:val="0"/>
                <w:sz w:val="22"/>
                <w:szCs w:val="21"/>
              </w:rPr>
            </w:pPr>
            <w:r>
              <w:rPr>
                <w:rFonts w:hint="eastAsia" w:ascii="仿宋_GB2312" w:hAnsi="宋体" w:eastAsia="仿宋_GB2312" w:cs="宋体"/>
                <w:kern w:val="0"/>
                <w:sz w:val="22"/>
                <w:szCs w:val="22"/>
              </w:rPr>
              <w:t>2.师德高尚、爱岗敬业、教书育人、关爱学生；</w:t>
            </w:r>
          </w:p>
          <w:p>
            <w:pPr>
              <w:widowControl/>
              <w:spacing w:line="320" w:lineRule="exact"/>
              <w:rPr>
                <w:rFonts w:ascii="仿宋_GB2312" w:hAnsi="宋体" w:eastAsia="仿宋_GB2312" w:cs="宋体"/>
                <w:kern w:val="0"/>
                <w:sz w:val="22"/>
                <w:szCs w:val="21"/>
              </w:rPr>
            </w:pPr>
            <w:r>
              <w:rPr>
                <w:rFonts w:hint="eastAsia" w:ascii="仿宋_GB2312" w:hAnsi="宋体" w:eastAsia="仿宋_GB2312" w:cs="宋体"/>
                <w:kern w:val="0"/>
                <w:sz w:val="22"/>
                <w:szCs w:val="22"/>
              </w:rPr>
              <w:t>3.严谨笃学，富有创新协作精神。</w:t>
            </w:r>
          </w:p>
        </w:tc>
        <w:tc>
          <w:tcPr>
            <w:tcW w:w="65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20</w:t>
            </w:r>
          </w:p>
        </w:tc>
      </w:tr>
      <w:tr>
        <w:tblPrEx>
          <w:tblCellMar>
            <w:top w:w="0" w:type="dxa"/>
            <w:left w:w="108" w:type="dxa"/>
            <w:bottom w:w="0" w:type="dxa"/>
            <w:right w:w="108" w:type="dxa"/>
          </w:tblCellMar>
        </w:tblPrEx>
        <w:trPr>
          <w:trHeight w:val="1755" w:hRule="atLeast"/>
          <w:jc w:val="center"/>
        </w:trPr>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2.教学水平与教改成效</w:t>
            </w:r>
          </w:p>
        </w:tc>
        <w:tc>
          <w:tcPr>
            <w:tcW w:w="113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教学思想与内容</w:t>
            </w:r>
          </w:p>
        </w:tc>
        <w:tc>
          <w:tcPr>
            <w:tcW w:w="7644"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2"/>
                <w:szCs w:val="21"/>
              </w:rPr>
            </w:pPr>
            <w:r>
              <w:rPr>
                <w:rFonts w:hint="eastAsia" w:ascii="仿宋_GB2312" w:hAnsi="宋体" w:eastAsia="仿宋_GB2312" w:cs="宋体"/>
                <w:kern w:val="0"/>
                <w:sz w:val="22"/>
                <w:szCs w:val="22"/>
              </w:rPr>
              <w:t>1.遵循教育规律和人才成长规律，教育思想先进，符合时代要求；</w:t>
            </w:r>
          </w:p>
          <w:p>
            <w:pPr>
              <w:widowControl/>
              <w:spacing w:line="320" w:lineRule="exact"/>
              <w:jc w:val="left"/>
              <w:rPr>
                <w:rFonts w:ascii="仿宋_GB2312" w:hAnsi="宋体" w:eastAsia="仿宋_GB2312" w:cs="宋体"/>
                <w:kern w:val="0"/>
                <w:sz w:val="22"/>
                <w:szCs w:val="21"/>
              </w:rPr>
            </w:pPr>
            <w:r>
              <w:rPr>
                <w:rFonts w:hint="eastAsia" w:ascii="仿宋_GB2312" w:hAnsi="宋体" w:eastAsia="仿宋_GB2312" w:cs="宋体"/>
                <w:kern w:val="0"/>
                <w:sz w:val="22"/>
                <w:szCs w:val="22"/>
              </w:rPr>
              <w:t>2.教学内容安排合理，条理性强，符合认知规律；</w:t>
            </w:r>
          </w:p>
          <w:p>
            <w:pPr>
              <w:widowControl/>
              <w:spacing w:line="320" w:lineRule="exact"/>
              <w:jc w:val="left"/>
              <w:rPr>
                <w:rFonts w:ascii="仿宋_GB2312" w:hAnsi="宋体" w:eastAsia="仿宋_GB2312" w:cs="宋体"/>
                <w:kern w:val="0"/>
                <w:sz w:val="22"/>
                <w:szCs w:val="21"/>
              </w:rPr>
            </w:pPr>
            <w:r>
              <w:rPr>
                <w:rFonts w:hint="eastAsia" w:ascii="仿宋_GB2312" w:hAnsi="宋体" w:eastAsia="仿宋_GB2312" w:cs="宋体"/>
                <w:kern w:val="0"/>
                <w:sz w:val="22"/>
                <w:szCs w:val="22"/>
              </w:rPr>
              <w:t>3.传授知识有深度，理论联系实际，注重学生综合素质和能力培养；</w:t>
            </w:r>
          </w:p>
          <w:p>
            <w:pPr>
              <w:widowControl/>
              <w:spacing w:line="320" w:lineRule="exact"/>
              <w:jc w:val="left"/>
              <w:rPr>
                <w:rFonts w:ascii="仿宋_GB2312" w:hAnsi="宋体" w:eastAsia="仿宋_GB2312" w:cs="宋体"/>
                <w:kern w:val="0"/>
                <w:sz w:val="22"/>
                <w:szCs w:val="21"/>
              </w:rPr>
            </w:pPr>
            <w:r>
              <w:rPr>
                <w:rFonts w:hint="eastAsia" w:ascii="仿宋_GB2312" w:hAnsi="宋体" w:eastAsia="仿宋_GB2312" w:cs="宋体"/>
                <w:kern w:val="0"/>
                <w:sz w:val="22"/>
                <w:szCs w:val="22"/>
              </w:rPr>
              <w:t>4.及时把学科发展成果和国内外教改成果引入教学，信息量大，达到国际同类课程水平。</w:t>
            </w:r>
          </w:p>
        </w:tc>
        <w:tc>
          <w:tcPr>
            <w:tcW w:w="65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10</w:t>
            </w:r>
          </w:p>
        </w:tc>
      </w:tr>
      <w:tr>
        <w:tblPrEx>
          <w:tblCellMar>
            <w:top w:w="0" w:type="dxa"/>
            <w:left w:w="108" w:type="dxa"/>
            <w:bottom w:w="0" w:type="dxa"/>
            <w:right w:w="108" w:type="dxa"/>
          </w:tblCellMar>
        </w:tblPrEx>
        <w:trPr>
          <w:trHeight w:val="1920"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kern w:val="0"/>
                <w:sz w:val="22"/>
                <w:szCs w:val="21"/>
              </w:rPr>
            </w:pPr>
          </w:p>
        </w:tc>
        <w:tc>
          <w:tcPr>
            <w:tcW w:w="113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教学艺术与方法</w:t>
            </w:r>
          </w:p>
        </w:tc>
        <w:tc>
          <w:tcPr>
            <w:tcW w:w="7644" w:type="dxa"/>
            <w:tcBorders>
              <w:top w:val="nil"/>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2"/>
                <w:szCs w:val="21"/>
              </w:rPr>
            </w:pPr>
            <w:r>
              <w:rPr>
                <w:rFonts w:hint="eastAsia" w:ascii="仿宋_GB2312" w:hAnsi="宋体" w:eastAsia="仿宋_GB2312" w:cs="宋体"/>
                <w:kern w:val="0"/>
                <w:sz w:val="22"/>
                <w:szCs w:val="22"/>
              </w:rPr>
              <w:t>1.注重学思结合，注重因材施教；</w:t>
            </w:r>
          </w:p>
          <w:p>
            <w:pPr>
              <w:widowControl/>
              <w:spacing w:line="320" w:lineRule="exact"/>
              <w:rPr>
                <w:rFonts w:ascii="仿宋_GB2312" w:hAnsi="宋体" w:eastAsia="仿宋_GB2312" w:cs="宋体"/>
                <w:kern w:val="0"/>
                <w:sz w:val="22"/>
                <w:szCs w:val="21"/>
              </w:rPr>
            </w:pPr>
            <w:r>
              <w:rPr>
                <w:rFonts w:hint="eastAsia" w:ascii="仿宋_GB2312" w:hAnsi="宋体" w:eastAsia="仿宋_GB2312" w:cs="宋体"/>
                <w:kern w:val="0"/>
                <w:sz w:val="22"/>
                <w:szCs w:val="22"/>
              </w:rPr>
              <w:t>2.课程讲授能激发学生的学习兴趣，培育学生的主动探索精神和创造性思维；</w:t>
            </w:r>
          </w:p>
          <w:p>
            <w:pPr>
              <w:widowControl/>
              <w:spacing w:line="320" w:lineRule="exact"/>
              <w:rPr>
                <w:rFonts w:ascii="仿宋_GB2312" w:hAnsi="宋体" w:eastAsia="仿宋_GB2312" w:cs="宋体"/>
                <w:kern w:val="0"/>
                <w:sz w:val="22"/>
                <w:szCs w:val="21"/>
              </w:rPr>
            </w:pPr>
            <w:r>
              <w:rPr>
                <w:rFonts w:hint="eastAsia" w:ascii="仿宋_GB2312" w:hAnsi="宋体" w:eastAsia="仿宋_GB2312" w:cs="宋体"/>
                <w:kern w:val="0"/>
                <w:sz w:val="22"/>
                <w:szCs w:val="22"/>
              </w:rPr>
              <w:t>3.积极开展教学方法研究与应用，科学、合理、有效使用现代教育技术，效果好，积极</w:t>
            </w:r>
            <w:r>
              <w:rPr>
                <w:rFonts w:ascii="仿宋_GB2312" w:hAnsi="宋体" w:eastAsia="仿宋_GB2312" w:cs="宋体"/>
                <w:kern w:val="0"/>
                <w:sz w:val="22"/>
                <w:szCs w:val="22"/>
              </w:rPr>
              <w:t>参与在线开放课程</w:t>
            </w:r>
            <w:r>
              <w:rPr>
                <w:rFonts w:hint="eastAsia" w:ascii="仿宋_GB2312" w:hAnsi="宋体" w:eastAsia="仿宋_GB2312" w:cs="宋体"/>
                <w:kern w:val="0"/>
                <w:sz w:val="22"/>
                <w:szCs w:val="22"/>
              </w:rPr>
              <w:t>建设</w:t>
            </w:r>
            <w:r>
              <w:rPr>
                <w:rFonts w:ascii="仿宋_GB2312" w:hAnsi="宋体" w:eastAsia="仿宋_GB2312" w:cs="宋体"/>
                <w:kern w:val="0"/>
                <w:sz w:val="22"/>
                <w:szCs w:val="22"/>
              </w:rPr>
              <w:t>，</w:t>
            </w:r>
            <w:r>
              <w:rPr>
                <w:rFonts w:hint="eastAsia" w:ascii="仿宋_GB2312" w:hAnsi="宋体" w:eastAsia="仿宋_GB2312" w:cs="宋体"/>
                <w:kern w:val="0"/>
                <w:sz w:val="22"/>
                <w:szCs w:val="22"/>
              </w:rPr>
              <w:t>有自己研制的多媒体课件；</w:t>
            </w:r>
          </w:p>
          <w:p>
            <w:pPr>
              <w:widowControl/>
              <w:spacing w:line="320" w:lineRule="exact"/>
              <w:rPr>
                <w:rFonts w:ascii="仿宋_GB2312" w:hAnsi="宋体" w:eastAsia="仿宋_GB2312" w:cs="宋体"/>
                <w:kern w:val="0"/>
                <w:sz w:val="22"/>
                <w:szCs w:val="21"/>
              </w:rPr>
            </w:pPr>
            <w:r>
              <w:rPr>
                <w:rFonts w:hint="eastAsia" w:ascii="仿宋_GB2312" w:hAnsi="宋体" w:eastAsia="仿宋_GB2312" w:cs="宋体"/>
                <w:kern w:val="0"/>
                <w:sz w:val="22"/>
                <w:szCs w:val="22"/>
              </w:rPr>
              <w:t>4.注重知行统一；中文授课部分使用普通话。</w:t>
            </w:r>
          </w:p>
        </w:tc>
        <w:tc>
          <w:tcPr>
            <w:tcW w:w="65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10</w:t>
            </w:r>
          </w:p>
        </w:tc>
      </w:tr>
      <w:tr>
        <w:tblPrEx>
          <w:tblCellMar>
            <w:top w:w="0" w:type="dxa"/>
            <w:left w:w="108" w:type="dxa"/>
            <w:bottom w:w="0" w:type="dxa"/>
            <w:right w:w="108" w:type="dxa"/>
          </w:tblCellMar>
        </w:tblPrEx>
        <w:trPr>
          <w:trHeight w:val="915"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kern w:val="0"/>
                <w:sz w:val="22"/>
                <w:szCs w:val="21"/>
              </w:rPr>
            </w:pPr>
          </w:p>
        </w:tc>
        <w:tc>
          <w:tcPr>
            <w:tcW w:w="113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教学效果</w:t>
            </w:r>
          </w:p>
        </w:tc>
        <w:tc>
          <w:tcPr>
            <w:tcW w:w="7644" w:type="dxa"/>
            <w:tcBorders>
              <w:top w:val="nil"/>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2"/>
                <w:szCs w:val="21"/>
              </w:rPr>
            </w:pPr>
            <w:r>
              <w:rPr>
                <w:rFonts w:hint="eastAsia" w:ascii="仿宋_GB2312" w:hAnsi="宋体" w:eastAsia="仿宋_GB2312" w:cs="宋体"/>
                <w:kern w:val="0"/>
                <w:sz w:val="22"/>
                <w:szCs w:val="22"/>
              </w:rPr>
              <w:t>1.教学效果好，主讲课程在全国同领域内有较大影响；</w:t>
            </w:r>
          </w:p>
          <w:p>
            <w:pPr>
              <w:widowControl/>
              <w:spacing w:line="320" w:lineRule="exact"/>
              <w:rPr>
                <w:rFonts w:ascii="仿宋_GB2312" w:hAnsi="宋体" w:eastAsia="仿宋_GB2312" w:cs="宋体"/>
                <w:kern w:val="0"/>
                <w:sz w:val="22"/>
                <w:szCs w:val="21"/>
              </w:rPr>
            </w:pPr>
            <w:r>
              <w:rPr>
                <w:rFonts w:hint="eastAsia" w:ascii="仿宋_GB2312" w:hAnsi="宋体" w:eastAsia="仿宋_GB2312" w:cs="宋体"/>
                <w:kern w:val="0"/>
                <w:sz w:val="22"/>
                <w:szCs w:val="22"/>
              </w:rPr>
              <w:t>2.形成独特而有效的教学风格，在国内起到示范作用；</w:t>
            </w:r>
          </w:p>
          <w:p>
            <w:pPr>
              <w:widowControl/>
              <w:spacing w:line="320" w:lineRule="exact"/>
              <w:rPr>
                <w:rFonts w:ascii="仿宋_GB2312" w:hAnsi="宋体" w:eastAsia="仿宋_GB2312" w:cs="宋体"/>
                <w:kern w:val="0"/>
                <w:sz w:val="22"/>
                <w:szCs w:val="21"/>
              </w:rPr>
            </w:pPr>
            <w:r>
              <w:rPr>
                <w:rFonts w:hint="eastAsia" w:ascii="仿宋_GB2312" w:hAnsi="宋体" w:eastAsia="仿宋_GB2312" w:cs="宋体"/>
                <w:kern w:val="0"/>
                <w:sz w:val="22"/>
                <w:szCs w:val="22"/>
              </w:rPr>
              <w:t>3.学生评价优秀。</w:t>
            </w:r>
          </w:p>
        </w:tc>
        <w:tc>
          <w:tcPr>
            <w:tcW w:w="65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10</w:t>
            </w:r>
          </w:p>
        </w:tc>
      </w:tr>
      <w:tr>
        <w:tblPrEx>
          <w:tblCellMar>
            <w:top w:w="0" w:type="dxa"/>
            <w:left w:w="108" w:type="dxa"/>
            <w:bottom w:w="0" w:type="dxa"/>
            <w:right w:w="108" w:type="dxa"/>
          </w:tblCellMar>
        </w:tblPrEx>
        <w:trPr>
          <w:trHeight w:val="1125"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kern w:val="0"/>
                <w:sz w:val="22"/>
                <w:szCs w:val="21"/>
              </w:rPr>
            </w:pPr>
          </w:p>
        </w:tc>
        <w:tc>
          <w:tcPr>
            <w:tcW w:w="113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教学改革与成就</w:t>
            </w:r>
          </w:p>
        </w:tc>
        <w:tc>
          <w:tcPr>
            <w:tcW w:w="7644" w:type="dxa"/>
            <w:tcBorders>
              <w:top w:val="nil"/>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2"/>
                <w:szCs w:val="22"/>
              </w:rPr>
            </w:pPr>
            <w:r>
              <w:rPr>
                <w:rFonts w:hint="eastAsia" w:ascii="仿宋_GB2312" w:hAnsi="宋体" w:eastAsia="仿宋_GB2312" w:cs="宋体"/>
                <w:kern w:val="0"/>
                <w:sz w:val="22"/>
                <w:szCs w:val="22"/>
              </w:rPr>
              <w:t>1.主持过重大教改项目，在教学内容、教学方法改革方面取得突出成绩，做出重要贡献，获得省部级以上奖励；</w:t>
            </w:r>
          </w:p>
          <w:p>
            <w:pPr>
              <w:widowControl/>
              <w:spacing w:line="320" w:lineRule="exact"/>
              <w:rPr>
                <w:rFonts w:ascii="仿宋_GB2312" w:hAnsi="宋体" w:eastAsia="仿宋_GB2312" w:cs="宋体"/>
                <w:kern w:val="0"/>
                <w:sz w:val="22"/>
                <w:szCs w:val="22"/>
              </w:rPr>
            </w:pPr>
            <w:r>
              <w:rPr>
                <w:rFonts w:hint="eastAsia" w:ascii="仿宋_GB2312" w:hAnsi="宋体" w:eastAsia="仿宋_GB2312" w:cs="宋体"/>
                <w:kern w:val="0"/>
                <w:sz w:val="22"/>
                <w:szCs w:val="22"/>
              </w:rPr>
              <w:t>2.发表多篇高质量的教改教研论文或出版具有一定影响的教改教研专著；</w:t>
            </w:r>
          </w:p>
          <w:p>
            <w:pPr>
              <w:widowControl/>
              <w:spacing w:line="320" w:lineRule="exact"/>
              <w:rPr>
                <w:rFonts w:ascii="仿宋_GB2312" w:hAnsi="宋体" w:eastAsia="仿宋_GB2312" w:cs="宋体"/>
                <w:kern w:val="0"/>
                <w:sz w:val="22"/>
                <w:szCs w:val="21"/>
              </w:rPr>
            </w:pPr>
            <w:r>
              <w:rPr>
                <w:rFonts w:hint="eastAsia" w:ascii="仿宋_GB2312" w:hAnsi="宋体" w:eastAsia="仿宋_GB2312" w:cs="宋体"/>
                <w:kern w:val="0"/>
                <w:sz w:val="22"/>
                <w:szCs w:val="22"/>
              </w:rPr>
              <w:t>3. 自编、主编高水平、有特色、版本新的教材，获省部级以上奖励。</w:t>
            </w:r>
          </w:p>
        </w:tc>
        <w:tc>
          <w:tcPr>
            <w:tcW w:w="65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15</w:t>
            </w:r>
          </w:p>
        </w:tc>
      </w:tr>
      <w:tr>
        <w:tblPrEx>
          <w:tblCellMar>
            <w:top w:w="0" w:type="dxa"/>
            <w:left w:w="108" w:type="dxa"/>
            <w:bottom w:w="0" w:type="dxa"/>
            <w:right w:w="108" w:type="dxa"/>
          </w:tblCellMar>
        </w:tblPrEx>
        <w:trPr>
          <w:trHeight w:val="1076" w:hRule="atLeast"/>
          <w:jc w:val="center"/>
        </w:trPr>
        <w:tc>
          <w:tcPr>
            <w:tcW w:w="1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2"/>
                <w:szCs w:val="21"/>
              </w:rPr>
            </w:pPr>
            <w:r>
              <w:rPr>
                <w:rFonts w:hint="eastAsia" w:ascii="仿宋_GB2312" w:hAnsi="宋体" w:eastAsia="仿宋_GB2312" w:cs="宋体"/>
                <w:kern w:val="0"/>
                <w:sz w:val="22"/>
                <w:szCs w:val="22"/>
              </w:rPr>
              <w:t>3．教学团队建设和贡献</w:t>
            </w:r>
          </w:p>
        </w:tc>
        <w:tc>
          <w:tcPr>
            <w:tcW w:w="7644" w:type="dxa"/>
            <w:tcBorders>
              <w:top w:val="nil"/>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2"/>
                <w:szCs w:val="21"/>
              </w:rPr>
            </w:pPr>
            <w:r>
              <w:rPr>
                <w:rFonts w:hint="eastAsia" w:ascii="仿宋_GB2312" w:hAnsi="宋体" w:eastAsia="仿宋_GB2312" w:cs="宋体"/>
                <w:kern w:val="0"/>
                <w:sz w:val="22"/>
                <w:szCs w:val="22"/>
              </w:rPr>
              <w:t>自觉指导和帮助中青年教师不断提高教学水平，重视教学队伍建设，作为课程主持人或主讲教师对形成结构合理的教学团队、形成本校该领域教学的历史地位做出重要贡献。</w:t>
            </w:r>
          </w:p>
        </w:tc>
        <w:tc>
          <w:tcPr>
            <w:tcW w:w="65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15</w:t>
            </w:r>
          </w:p>
        </w:tc>
      </w:tr>
      <w:tr>
        <w:tblPrEx>
          <w:tblCellMar>
            <w:top w:w="0" w:type="dxa"/>
            <w:left w:w="108" w:type="dxa"/>
            <w:bottom w:w="0" w:type="dxa"/>
            <w:right w:w="108" w:type="dxa"/>
          </w:tblCellMar>
        </w:tblPrEx>
        <w:trPr>
          <w:trHeight w:val="660" w:hRule="atLeast"/>
          <w:jc w:val="center"/>
        </w:trPr>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2"/>
                <w:szCs w:val="21"/>
              </w:rPr>
            </w:pPr>
            <w:r>
              <w:rPr>
                <w:rFonts w:hint="eastAsia" w:ascii="仿宋_GB2312" w:hAnsi="宋体" w:eastAsia="仿宋_GB2312" w:cs="宋体"/>
                <w:kern w:val="0"/>
                <w:sz w:val="22"/>
                <w:szCs w:val="22"/>
              </w:rPr>
              <w:t>4.科研水平与学术支撑</w:t>
            </w:r>
          </w:p>
        </w:tc>
        <w:tc>
          <w:tcPr>
            <w:tcW w:w="113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科研水平</w:t>
            </w:r>
          </w:p>
        </w:tc>
        <w:tc>
          <w:tcPr>
            <w:tcW w:w="7644" w:type="dxa"/>
            <w:tcBorders>
              <w:top w:val="nil"/>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2"/>
                <w:szCs w:val="21"/>
              </w:rPr>
            </w:pPr>
            <w:r>
              <w:rPr>
                <w:rFonts w:hint="eastAsia" w:ascii="仿宋_GB2312" w:hAnsi="宋体" w:eastAsia="仿宋_GB2312" w:cs="宋体"/>
                <w:kern w:val="0"/>
                <w:sz w:val="22"/>
                <w:szCs w:val="22"/>
              </w:rPr>
              <w:t>主持或承担多项高级别科研项目，科研成果多，获省部级以上奖励（特殊学科和基础课教师可酌情考虑降低此项要求）。</w:t>
            </w:r>
          </w:p>
        </w:tc>
        <w:tc>
          <w:tcPr>
            <w:tcW w:w="65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10</w:t>
            </w:r>
          </w:p>
        </w:tc>
      </w:tr>
      <w:tr>
        <w:tblPrEx>
          <w:tblCellMar>
            <w:top w:w="0" w:type="dxa"/>
            <w:left w:w="108" w:type="dxa"/>
            <w:bottom w:w="0" w:type="dxa"/>
            <w:right w:w="108" w:type="dxa"/>
          </w:tblCellMar>
        </w:tblPrEx>
        <w:trPr>
          <w:trHeight w:val="660"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kern w:val="0"/>
                <w:sz w:val="22"/>
                <w:szCs w:val="21"/>
              </w:rPr>
            </w:pPr>
          </w:p>
        </w:tc>
        <w:tc>
          <w:tcPr>
            <w:tcW w:w="113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学术能力</w:t>
            </w:r>
          </w:p>
        </w:tc>
        <w:tc>
          <w:tcPr>
            <w:tcW w:w="7644" w:type="dxa"/>
            <w:tcBorders>
              <w:top w:val="nil"/>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2"/>
                <w:szCs w:val="21"/>
              </w:rPr>
            </w:pPr>
            <w:r>
              <w:rPr>
                <w:rFonts w:hint="eastAsia" w:ascii="仿宋_GB2312" w:hAnsi="宋体" w:eastAsia="仿宋_GB2312" w:cs="宋体"/>
                <w:kern w:val="0"/>
                <w:sz w:val="22"/>
                <w:szCs w:val="22"/>
              </w:rPr>
              <w:t>学术造诣高，科研成果有效支撑和服务教学。</w:t>
            </w:r>
          </w:p>
        </w:tc>
        <w:tc>
          <w:tcPr>
            <w:tcW w:w="65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10</w:t>
            </w:r>
          </w:p>
        </w:tc>
      </w:tr>
      <w:tr>
        <w:tblPrEx>
          <w:tblCellMar>
            <w:top w:w="0" w:type="dxa"/>
            <w:left w:w="108" w:type="dxa"/>
            <w:bottom w:w="0" w:type="dxa"/>
            <w:right w:w="108" w:type="dxa"/>
          </w:tblCellMar>
        </w:tblPrEx>
        <w:trPr>
          <w:trHeight w:val="437" w:hRule="atLeast"/>
          <w:jc w:val="center"/>
        </w:trPr>
        <w:tc>
          <w:tcPr>
            <w:tcW w:w="9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b/>
                <w:kern w:val="0"/>
                <w:sz w:val="22"/>
                <w:szCs w:val="21"/>
              </w:rPr>
            </w:pPr>
            <w:r>
              <w:rPr>
                <w:rFonts w:hint="eastAsia" w:ascii="仿宋_GB2312" w:hAnsi="宋体" w:eastAsia="仿宋_GB2312" w:cs="宋体"/>
                <w:b/>
                <w:kern w:val="0"/>
                <w:sz w:val="22"/>
                <w:szCs w:val="22"/>
              </w:rPr>
              <w:t>总分合计</w:t>
            </w:r>
          </w:p>
        </w:tc>
        <w:tc>
          <w:tcPr>
            <w:tcW w:w="65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szCs w:val="22"/>
              </w:rPr>
              <w:t>100</w:t>
            </w:r>
          </w:p>
        </w:tc>
      </w:tr>
    </w:tbl>
    <w:p>
      <w:pPr>
        <w:jc w:val="left"/>
        <w:rPr>
          <w:rFonts w:asciiTheme="minorEastAsia" w:hAnsiTheme="minorEastAsia"/>
          <w:sz w:val="28"/>
          <w:szCs w:val="22"/>
        </w:rPr>
      </w:pPr>
      <w:r>
        <w:rPr>
          <w:rFonts w:hint="eastAsia" w:asciiTheme="minorEastAsia" w:hAnsiTheme="minorEastAsia"/>
          <w:sz w:val="28"/>
          <w:szCs w:val="22"/>
        </w:rPr>
        <w:t>注：此综合评价指标为2018年版，供参考。</w:t>
      </w:r>
    </w:p>
    <w:p>
      <w:pPr>
        <w:rPr>
          <w:rFonts w:cs="宋体" w:asciiTheme="minorEastAsia" w:hAnsiTheme="minorEastAsia"/>
          <w:b/>
          <w:bCs/>
          <w:kern w:val="0"/>
          <w:sz w:val="28"/>
          <w:szCs w:val="32"/>
        </w:rPr>
      </w:pPr>
      <w:r>
        <w:rPr>
          <w:rFonts w:hint="eastAsia" w:cs="宋体" w:asciiTheme="minorEastAsia" w:hAnsiTheme="minorEastAsia"/>
          <w:b/>
          <w:bCs/>
          <w:kern w:val="0"/>
          <w:sz w:val="28"/>
          <w:szCs w:val="32"/>
        </w:rPr>
        <w:br w:type="page"/>
      </w:r>
    </w:p>
    <w:p>
      <w:pPr>
        <w:rPr>
          <w:rFonts w:ascii="仿宋_GB2312" w:hAnsi="宋体" w:eastAsia="仿宋_GB2312" w:cs="宋体"/>
          <w:kern w:val="0"/>
          <w:sz w:val="28"/>
          <w:szCs w:val="22"/>
        </w:rPr>
      </w:pPr>
      <w:r>
        <w:rPr>
          <w:rFonts w:hint="eastAsia" w:ascii="仿宋_GB2312" w:hAnsi="宋体" w:eastAsia="仿宋_GB2312" w:cs="宋体"/>
          <w:kern w:val="0"/>
          <w:sz w:val="28"/>
          <w:szCs w:val="22"/>
        </w:rPr>
        <w:t>附件1-2</w:t>
      </w:r>
    </w:p>
    <w:tbl>
      <w:tblPr>
        <w:tblStyle w:val="7"/>
        <w:tblW w:w="10288" w:type="dxa"/>
        <w:jc w:val="center"/>
        <w:tblLayout w:type="autofit"/>
        <w:tblCellMar>
          <w:top w:w="0" w:type="dxa"/>
          <w:left w:w="108" w:type="dxa"/>
          <w:bottom w:w="0" w:type="dxa"/>
          <w:right w:w="108" w:type="dxa"/>
        </w:tblCellMar>
      </w:tblPr>
      <w:tblGrid>
        <w:gridCol w:w="850"/>
        <w:gridCol w:w="1136"/>
        <w:gridCol w:w="7644"/>
        <w:gridCol w:w="658"/>
      </w:tblGrid>
      <w:tr>
        <w:tblPrEx>
          <w:tblCellMar>
            <w:top w:w="0" w:type="dxa"/>
            <w:left w:w="108" w:type="dxa"/>
            <w:bottom w:w="0" w:type="dxa"/>
            <w:right w:w="108" w:type="dxa"/>
          </w:tblCellMar>
        </w:tblPrEx>
        <w:trPr>
          <w:trHeight w:val="600" w:hRule="atLeast"/>
          <w:jc w:val="center"/>
        </w:trPr>
        <w:tc>
          <w:tcPr>
            <w:tcW w:w="10288" w:type="dxa"/>
            <w:gridSpan w:val="4"/>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28"/>
                <w:szCs w:val="28"/>
              </w:rPr>
            </w:pPr>
            <w:r>
              <w:rPr>
                <w:rFonts w:hint="eastAsia" w:ascii="方正小标宋简体" w:hAnsi="宋体" w:eastAsia="方正小标宋简体" w:cs="宋体"/>
                <w:bCs/>
                <w:kern w:val="0"/>
                <w:sz w:val="32"/>
                <w:szCs w:val="32"/>
              </w:rPr>
              <w:t>北京市高等学校青年教学名师奖综合评价指标（本科）</w:t>
            </w:r>
          </w:p>
        </w:tc>
      </w:tr>
      <w:tr>
        <w:tblPrEx>
          <w:tblCellMar>
            <w:top w:w="0" w:type="dxa"/>
            <w:left w:w="108" w:type="dxa"/>
            <w:bottom w:w="0" w:type="dxa"/>
            <w:right w:w="108" w:type="dxa"/>
          </w:tblCellMar>
        </w:tblPrEx>
        <w:trPr>
          <w:trHeight w:val="465" w:hRule="atLeast"/>
          <w:jc w:val="center"/>
        </w:trPr>
        <w:tc>
          <w:tcPr>
            <w:tcW w:w="1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b/>
                <w:bCs/>
                <w:kern w:val="0"/>
                <w:sz w:val="22"/>
                <w:szCs w:val="21"/>
              </w:rPr>
            </w:pPr>
            <w:r>
              <w:rPr>
                <w:rFonts w:hint="eastAsia" w:ascii="仿宋_GB2312" w:hAnsi="宋体" w:eastAsia="仿宋_GB2312" w:cs="宋体"/>
                <w:b/>
                <w:bCs/>
                <w:kern w:val="0"/>
                <w:sz w:val="22"/>
              </w:rPr>
              <w:t>评价指标</w:t>
            </w:r>
          </w:p>
        </w:tc>
        <w:tc>
          <w:tcPr>
            <w:tcW w:w="764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b/>
                <w:bCs/>
                <w:kern w:val="0"/>
                <w:sz w:val="22"/>
                <w:szCs w:val="21"/>
              </w:rPr>
            </w:pPr>
            <w:r>
              <w:rPr>
                <w:rFonts w:hint="eastAsia" w:ascii="仿宋_GB2312" w:hAnsi="宋体" w:eastAsia="仿宋_GB2312" w:cs="宋体"/>
                <w:b/>
                <w:bCs/>
                <w:kern w:val="0"/>
                <w:sz w:val="22"/>
              </w:rPr>
              <w:t>评 价 内 容</w:t>
            </w:r>
          </w:p>
        </w:tc>
        <w:tc>
          <w:tcPr>
            <w:tcW w:w="65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b/>
                <w:bCs/>
                <w:kern w:val="0"/>
                <w:sz w:val="22"/>
                <w:szCs w:val="21"/>
              </w:rPr>
            </w:pPr>
            <w:r>
              <w:rPr>
                <w:rFonts w:hint="eastAsia" w:ascii="仿宋_GB2312" w:hAnsi="宋体" w:eastAsia="仿宋_GB2312" w:cs="宋体"/>
                <w:b/>
                <w:bCs/>
                <w:kern w:val="0"/>
                <w:sz w:val="22"/>
              </w:rPr>
              <w:t>分值</w:t>
            </w:r>
          </w:p>
        </w:tc>
      </w:tr>
      <w:tr>
        <w:tblPrEx>
          <w:tblCellMar>
            <w:top w:w="0" w:type="dxa"/>
            <w:left w:w="108" w:type="dxa"/>
            <w:bottom w:w="0" w:type="dxa"/>
            <w:right w:w="108" w:type="dxa"/>
          </w:tblCellMar>
        </w:tblPrEx>
        <w:trPr>
          <w:trHeight w:val="900" w:hRule="atLeast"/>
          <w:jc w:val="center"/>
        </w:trPr>
        <w:tc>
          <w:tcPr>
            <w:tcW w:w="1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2"/>
                <w:szCs w:val="21"/>
              </w:rPr>
            </w:pPr>
            <w:r>
              <w:rPr>
                <w:rFonts w:hint="eastAsia" w:ascii="仿宋_GB2312" w:hAnsi="宋体" w:eastAsia="仿宋_GB2312" w:cs="宋体"/>
                <w:kern w:val="0"/>
                <w:sz w:val="22"/>
              </w:rPr>
              <w:t>1．师德师风</w:t>
            </w:r>
          </w:p>
        </w:tc>
        <w:tc>
          <w:tcPr>
            <w:tcW w:w="7644" w:type="dxa"/>
            <w:tcBorders>
              <w:top w:val="nil"/>
              <w:left w:val="nil"/>
              <w:bottom w:val="single" w:color="auto" w:sz="4" w:space="0"/>
              <w:right w:val="single" w:color="auto" w:sz="4" w:space="0"/>
            </w:tcBorders>
            <w:shd w:val="clear" w:color="auto" w:fill="auto"/>
            <w:vAlign w:val="center"/>
          </w:tcPr>
          <w:p>
            <w:pPr>
              <w:spacing w:before="156" w:beforeLines="50" w:after="156" w:afterLines="50" w:line="240" w:lineRule="exact"/>
              <w:rPr>
                <w:rFonts w:ascii="仿宋_GB2312" w:hAnsi="宋体" w:eastAsia="仿宋_GB2312" w:cs="宋体"/>
                <w:kern w:val="0"/>
                <w:sz w:val="22"/>
              </w:rPr>
            </w:pPr>
            <w:r>
              <w:rPr>
                <w:rFonts w:ascii="仿宋_GB2312" w:hAnsi="宋体" w:eastAsia="仿宋_GB2312" w:cs="宋体"/>
                <w:kern w:val="0"/>
                <w:sz w:val="22"/>
              </w:rPr>
              <w:t>1.</w:t>
            </w:r>
            <w:r>
              <w:rPr>
                <w:rFonts w:hint="eastAsia" w:ascii="仿宋_GB2312" w:hAnsi="宋体" w:eastAsia="仿宋_GB2312" w:cs="宋体"/>
                <w:kern w:val="0"/>
                <w:sz w:val="22"/>
              </w:rPr>
              <w:t>政治立场坚定，把传授知识、培养能力同塑造学生正确的世界观、人生观、价值观结合起来；</w:t>
            </w:r>
          </w:p>
          <w:p>
            <w:pPr>
              <w:spacing w:before="156" w:beforeLines="50" w:after="156" w:afterLines="50" w:line="240" w:lineRule="exact"/>
              <w:rPr>
                <w:rFonts w:ascii="仿宋_GB2312" w:hAnsi="宋体" w:eastAsia="仿宋_GB2312" w:cs="宋体"/>
                <w:kern w:val="0"/>
                <w:sz w:val="22"/>
              </w:rPr>
            </w:pPr>
            <w:r>
              <w:rPr>
                <w:rFonts w:hint="eastAsia" w:ascii="仿宋_GB2312" w:hAnsi="宋体" w:eastAsia="仿宋_GB2312" w:cs="宋体"/>
                <w:kern w:val="0"/>
                <w:sz w:val="22"/>
              </w:rPr>
              <w:t>2.</w:t>
            </w:r>
            <w:r>
              <w:rPr>
                <w:rFonts w:ascii="仿宋_GB2312" w:hAnsi="宋体" w:eastAsia="仿宋_GB2312" w:cs="宋体"/>
                <w:kern w:val="0"/>
                <w:sz w:val="22"/>
              </w:rPr>
              <w:t>师德高尚、爱岗敬业、教书育人、关爱学生</w:t>
            </w:r>
            <w:r>
              <w:rPr>
                <w:rFonts w:hint="eastAsia" w:ascii="仿宋_GB2312" w:hAnsi="宋体" w:eastAsia="仿宋_GB2312" w:cs="宋体"/>
                <w:kern w:val="0"/>
                <w:sz w:val="22"/>
              </w:rPr>
              <w:t>；</w:t>
            </w:r>
          </w:p>
          <w:p>
            <w:pPr>
              <w:spacing w:before="156" w:beforeLines="50" w:after="156" w:afterLines="50" w:line="240" w:lineRule="exact"/>
              <w:rPr>
                <w:rFonts w:ascii="仿宋_GB2312" w:hAnsi="宋体" w:eastAsia="仿宋_GB2312" w:cs="宋体"/>
                <w:kern w:val="0"/>
                <w:sz w:val="22"/>
                <w:szCs w:val="21"/>
              </w:rPr>
            </w:pPr>
            <w:r>
              <w:rPr>
                <w:rFonts w:ascii="仿宋_GB2312" w:hAnsi="宋体" w:eastAsia="仿宋_GB2312" w:cs="宋体"/>
                <w:kern w:val="0"/>
                <w:sz w:val="22"/>
              </w:rPr>
              <w:t>3.严谨笃学，富有创新协作精神。</w:t>
            </w:r>
          </w:p>
        </w:tc>
        <w:tc>
          <w:tcPr>
            <w:tcW w:w="65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ascii="仿宋_GB2312" w:hAnsi="宋体" w:eastAsia="仿宋_GB2312" w:cs="宋体"/>
                <w:kern w:val="0"/>
                <w:sz w:val="22"/>
              </w:rPr>
              <w:t>20</w:t>
            </w:r>
          </w:p>
        </w:tc>
      </w:tr>
      <w:tr>
        <w:tblPrEx>
          <w:tblCellMar>
            <w:top w:w="0" w:type="dxa"/>
            <w:left w:w="108" w:type="dxa"/>
            <w:bottom w:w="0" w:type="dxa"/>
            <w:right w:w="108" w:type="dxa"/>
          </w:tblCellMar>
        </w:tblPrEx>
        <w:trPr>
          <w:trHeight w:val="1755" w:hRule="atLeast"/>
          <w:jc w:val="center"/>
        </w:trPr>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spacing w:before="156" w:beforeLines="50" w:line="280" w:lineRule="exact"/>
              <w:jc w:val="center"/>
              <w:rPr>
                <w:rFonts w:ascii="仿宋_GB2312" w:hAnsi="宋体" w:eastAsia="仿宋_GB2312" w:cs="宋体"/>
                <w:kern w:val="0"/>
                <w:sz w:val="22"/>
                <w:szCs w:val="21"/>
              </w:rPr>
            </w:pPr>
            <w:r>
              <w:rPr>
                <w:rFonts w:hint="eastAsia" w:ascii="仿宋_GB2312" w:hAnsi="宋体" w:eastAsia="仿宋_GB2312" w:cs="宋体"/>
                <w:kern w:val="0"/>
                <w:sz w:val="22"/>
              </w:rPr>
              <w:t>2.</w:t>
            </w:r>
          </w:p>
          <w:p>
            <w:pPr>
              <w:spacing w:before="156" w:beforeLines="50" w:line="280" w:lineRule="exact"/>
              <w:jc w:val="center"/>
              <w:rPr>
                <w:rFonts w:ascii="仿宋_GB2312" w:hAnsi="宋体" w:eastAsia="仿宋_GB2312" w:cs="宋体"/>
                <w:kern w:val="0"/>
                <w:sz w:val="22"/>
                <w:szCs w:val="21"/>
              </w:rPr>
            </w:pPr>
            <w:r>
              <w:rPr>
                <w:rFonts w:hint="eastAsia" w:ascii="仿宋_GB2312" w:hAnsi="宋体" w:eastAsia="仿宋_GB2312" w:cs="宋体"/>
                <w:kern w:val="0"/>
                <w:sz w:val="22"/>
              </w:rPr>
              <w:t>教学水平与</w:t>
            </w:r>
            <w:r>
              <w:rPr>
                <w:rFonts w:ascii="仿宋_GB2312" w:hAnsi="宋体" w:eastAsia="仿宋_GB2312" w:cs="宋体"/>
                <w:kern w:val="0"/>
                <w:sz w:val="22"/>
              </w:rPr>
              <w:t>教改成效</w:t>
            </w:r>
            <w:r>
              <w:rPr>
                <w:rFonts w:hint="eastAsia" w:ascii="仿宋_GB2312" w:hAnsi="宋体" w:eastAsia="仿宋_GB2312" w:cs="宋体"/>
                <w:kern w:val="0"/>
                <w:sz w:val="22"/>
              </w:rPr>
              <w:t>与水平</w:t>
            </w:r>
          </w:p>
        </w:tc>
        <w:tc>
          <w:tcPr>
            <w:tcW w:w="1136" w:type="dxa"/>
            <w:tcBorders>
              <w:top w:val="nil"/>
              <w:left w:val="nil"/>
              <w:bottom w:val="single" w:color="auto" w:sz="4" w:space="0"/>
              <w:right w:val="single" w:color="auto" w:sz="4" w:space="0"/>
            </w:tcBorders>
            <w:shd w:val="clear" w:color="auto" w:fill="auto"/>
            <w:vAlign w:val="center"/>
          </w:tcPr>
          <w:p>
            <w:pPr>
              <w:spacing w:before="156" w:beforeLines="50" w:line="280" w:lineRule="exact"/>
              <w:jc w:val="center"/>
              <w:rPr>
                <w:rFonts w:ascii="仿宋_GB2312" w:hAnsi="宋体" w:eastAsia="仿宋_GB2312" w:cs="宋体"/>
                <w:kern w:val="0"/>
                <w:sz w:val="22"/>
                <w:szCs w:val="21"/>
              </w:rPr>
            </w:pPr>
            <w:r>
              <w:rPr>
                <w:rFonts w:hint="eastAsia" w:ascii="仿宋_GB2312" w:hAnsi="宋体" w:eastAsia="仿宋_GB2312" w:cs="宋体"/>
                <w:kern w:val="0"/>
                <w:sz w:val="22"/>
              </w:rPr>
              <w:t>教学思想与内容</w:t>
            </w:r>
          </w:p>
        </w:tc>
        <w:tc>
          <w:tcPr>
            <w:tcW w:w="7644" w:type="dxa"/>
            <w:tcBorders>
              <w:top w:val="nil"/>
              <w:left w:val="nil"/>
              <w:bottom w:val="single" w:color="auto" w:sz="4" w:space="0"/>
              <w:right w:val="single" w:color="auto" w:sz="4" w:space="0"/>
            </w:tcBorders>
            <w:shd w:val="clear" w:color="auto" w:fill="auto"/>
            <w:vAlign w:val="center"/>
          </w:tcPr>
          <w:p>
            <w:pPr>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1.遵循教育规律和人才成长规律，教育思想先进，符合时代要求；</w:t>
            </w:r>
          </w:p>
          <w:p>
            <w:pPr>
              <w:spacing w:line="360" w:lineRule="exact"/>
              <w:jc w:val="left"/>
              <w:rPr>
                <w:rFonts w:ascii="仿宋_GB2312" w:hAnsi="宋体" w:eastAsia="仿宋_GB2312" w:cs="宋体"/>
                <w:kern w:val="0"/>
                <w:sz w:val="22"/>
              </w:rPr>
            </w:pPr>
            <w:r>
              <w:rPr>
                <w:rFonts w:ascii="仿宋_GB2312" w:hAnsi="宋体" w:eastAsia="仿宋_GB2312" w:cs="宋体"/>
                <w:kern w:val="0"/>
                <w:sz w:val="22"/>
              </w:rPr>
              <w:t>2.</w:t>
            </w:r>
            <w:r>
              <w:rPr>
                <w:rFonts w:hint="eastAsia" w:ascii="仿宋_GB2312" w:hAnsi="宋体" w:eastAsia="仿宋_GB2312" w:cs="宋体"/>
                <w:kern w:val="0"/>
                <w:sz w:val="22"/>
              </w:rPr>
              <w:t>教学内容安排合理，条理性强，符合认知规律；</w:t>
            </w:r>
          </w:p>
          <w:p>
            <w:pPr>
              <w:spacing w:line="360" w:lineRule="exact"/>
              <w:jc w:val="left"/>
              <w:rPr>
                <w:rFonts w:ascii="仿宋_GB2312" w:hAnsi="宋体" w:eastAsia="仿宋_GB2312" w:cs="宋体"/>
                <w:kern w:val="0"/>
                <w:sz w:val="22"/>
              </w:rPr>
            </w:pPr>
            <w:r>
              <w:rPr>
                <w:rFonts w:ascii="仿宋_GB2312" w:hAnsi="宋体" w:eastAsia="仿宋_GB2312" w:cs="宋体"/>
                <w:kern w:val="0"/>
                <w:sz w:val="22"/>
              </w:rPr>
              <w:t>3.</w:t>
            </w:r>
            <w:r>
              <w:rPr>
                <w:rFonts w:hint="eastAsia" w:ascii="仿宋_GB2312" w:hAnsi="宋体" w:eastAsia="仿宋_GB2312" w:cs="宋体"/>
                <w:kern w:val="0"/>
                <w:sz w:val="22"/>
              </w:rPr>
              <w:t>理论联系实际，注重学生综合素质和能力培养；</w:t>
            </w:r>
          </w:p>
          <w:p>
            <w:pPr>
              <w:spacing w:line="360" w:lineRule="exact"/>
              <w:jc w:val="left"/>
              <w:rPr>
                <w:rFonts w:ascii="仿宋_GB2312" w:hAnsi="宋体" w:eastAsia="仿宋_GB2312" w:cs="宋体"/>
                <w:kern w:val="0"/>
                <w:sz w:val="22"/>
                <w:szCs w:val="21"/>
              </w:rPr>
            </w:pPr>
            <w:r>
              <w:rPr>
                <w:rFonts w:ascii="仿宋_GB2312" w:hAnsi="宋体" w:eastAsia="仿宋_GB2312" w:cs="宋体"/>
                <w:kern w:val="0"/>
                <w:sz w:val="22"/>
              </w:rPr>
              <w:t>4.</w:t>
            </w:r>
            <w:r>
              <w:rPr>
                <w:rFonts w:hint="eastAsia" w:ascii="仿宋_GB2312" w:hAnsi="宋体" w:eastAsia="仿宋_GB2312" w:cs="宋体"/>
                <w:kern w:val="0"/>
                <w:sz w:val="22"/>
              </w:rPr>
              <w:t>能及时把学科</w:t>
            </w:r>
            <w:r>
              <w:rPr>
                <w:rFonts w:ascii="仿宋_GB2312" w:hAnsi="宋体" w:eastAsia="仿宋_GB2312" w:cs="宋体"/>
                <w:kern w:val="0"/>
                <w:sz w:val="22"/>
              </w:rPr>
              <w:t>发展成果和</w:t>
            </w:r>
            <w:r>
              <w:rPr>
                <w:rFonts w:hint="eastAsia" w:ascii="仿宋_GB2312" w:hAnsi="宋体" w:eastAsia="仿宋_GB2312" w:cs="宋体"/>
                <w:kern w:val="0"/>
                <w:sz w:val="22"/>
              </w:rPr>
              <w:t xml:space="preserve">国内外教改成果引入教学，信息量大，达到国际同类课程水平。 </w:t>
            </w:r>
          </w:p>
        </w:tc>
        <w:tc>
          <w:tcPr>
            <w:tcW w:w="65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ascii="仿宋_GB2312" w:hAnsi="宋体" w:eastAsia="仿宋_GB2312" w:cs="宋体"/>
                <w:kern w:val="0"/>
                <w:sz w:val="22"/>
              </w:rPr>
              <w:t>10</w:t>
            </w:r>
          </w:p>
        </w:tc>
      </w:tr>
      <w:tr>
        <w:tblPrEx>
          <w:tblCellMar>
            <w:top w:w="0" w:type="dxa"/>
            <w:left w:w="108" w:type="dxa"/>
            <w:bottom w:w="0" w:type="dxa"/>
            <w:right w:w="108" w:type="dxa"/>
          </w:tblCellMar>
        </w:tblPrEx>
        <w:trPr>
          <w:trHeight w:val="1920"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kern w:val="0"/>
                <w:sz w:val="22"/>
                <w:szCs w:val="21"/>
              </w:rPr>
            </w:pPr>
          </w:p>
        </w:tc>
        <w:tc>
          <w:tcPr>
            <w:tcW w:w="113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rPr>
              <w:t>教学艺术与方法</w:t>
            </w:r>
          </w:p>
        </w:tc>
        <w:tc>
          <w:tcPr>
            <w:tcW w:w="7644" w:type="dxa"/>
            <w:tcBorders>
              <w:top w:val="nil"/>
              <w:left w:val="nil"/>
              <w:bottom w:val="single" w:color="auto" w:sz="4" w:space="0"/>
              <w:right w:val="single" w:color="auto" w:sz="4" w:space="0"/>
            </w:tcBorders>
            <w:shd w:val="clear" w:color="auto" w:fill="auto"/>
            <w:vAlign w:val="center"/>
          </w:tcPr>
          <w:p>
            <w:pPr>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1.注重学思结合，注重因材施教；课程讲授能激发学生的学习兴趣，培育学生的主动探索精神和创造性思维；</w:t>
            </w:r>
          </w:p>
          <w:p>
            <w:pPr>
              <w:spacing w:line="360" w:lineRule="exact"/>
              <w:jc w:val="left"/>
              <w:rPr>
                <w:rFonts w:ascii="仿宋_GB2312" w:hAnsi="宋体" w:eastAsia="仿宋_GB2312" w:cs="宋体"/>
                <w:kern w:val="0"/>
                <w:sz w:val="22"/>
              </w:rPr>
            </w:pPr>
            <w:r>
              <w:rPr>
                <w:rFonts w:ascii="仿宋_GB2312" w:hAnsi="宋体" w:eastAsia="仿宋_GB2312" w:cs="宋体"/>
                <w:kern w:val="0"/>
                <w:sz w:val="22"/>
              </w:rPr>
              <w:t>2.</w:t>
            </w:r>
            <w:r>
              <w:rPr>
                <w:rFonts w:hint="eastAsia" w:ascii="仿宋_GB2312" w:hAnsi="宋体" w:eastAsia="仿宋_GB2312" w:cs="宋体"/>
                <w:kern w:val="0"/>
                <w:sz w:val="22"/>
              </w:rPr>
              <w:t>积极开展教学方法研究与应用，科学、合理、有效使用现代教育技术，效果好，积极参与在线开放课程建设，有自己研制的多媒体课件；</w:t>
            </w:r>
          </w:p>
          <w:p>
            <w:pPr>
              <w:spacing w:line="360" w:lineRule="exact"/>
              <w:jc w:val="left"/>
              <w:rPr>
                <w:rFonts w:ascii="仿宋_GB2312" w:hAnsi="宋体" w:eastAsia="仿宋_GB2312" w:cs="宋体"/>
                <w:kern w:val="0"/>
                <w:sz w:val="22"/>
                <w:szCs w:val="21"/>
              </w:rPr>
            </w:pPr>
            <w:r>
              <w:rPr>
                <w:rFonts w:hint="eastAsia" w:ascii="仿宋_GB2312" w:hAnsi="宋体" w:eastAsia="仿宋_GB2312" w:cs="宋体"/>
                <w:kern w:val="0"/>
                <w:sz w:val="22"/>
              </w:rPr>
              <w:t>3.注重知行统一；中文授课部分使用普通话。</w:t>
            </w:r>
          </w:p>
        </w:tc>
        <w:tc>
          <w:tcPr>
            <w:tcW w:w="65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rPr>
              <w:t>10</w:t>
            </w:r>
          </w:p>
        </w:tc>
      </w:tr>
      <w:tr>
        <w:tblPrEx>
          <w:tblCellMar>
            <w:top w:w="0" w:type="dxa"/>
            <w:left w:w="108" w:type="dxa"/>
            <w:bottom w:w="0" w:type="dxa"/>
            <w:right w:w="108" w:type="dxa"/>
          </w:tblCellMar>
        </w:tblPrEx>
        <w:trPr>
          <w:trHeight w:val="915"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kern w:val="0"/>
                <w:sz w:val="22"/>
                <w:szCs w:val="21"/>
              </w:rPr>
            </w:pPr>
          </w:p>
        </w:tc>
        <w:tc>
          <w:tcPr>
            <w:tcW w:w="113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rPr>
              <w:t>教学改革与成就</w:t>
            </w:r>
          </w:p>
        </w:tc>
        <w:tc>
          <w:tcPr>
            <w:tcW w:w="7644" w:type="dxa"/>
            <w:tcBorders>
              <w:top w:val="nil"/>
              <w:left w:val="nil"/>
              <w:bottom w:val="single" w:color="auto" w:sz="4" w:space="0"/>
              <w:right w:val="single" w:color="auto" w:sz="4" w:space="0"/>
            </w:tcBorders>
            <w:shd w:val="clear" w:color="auto" w:fill="auto"/>
            <w:vAlign w:val="center"/>
          </w:tcPr>
          <w:p>
            <w:pPr>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1.主持过教改项目，在教学内容、教学方法改革方面取得明显效果，做出重要贡献；</w:t>
            </w:r>
          </w:p>
          <w:p>
            <w:pPr>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2.发表过高质量的教改教研论文或出版具有一定影响的教改教研专著；</w:t>
            </w:r>
          </w:p>
          <w:p>
            <w:pPr>
              <w:spacing w:line="360" w:lineRule="exact"/>
              <w:jc w:val="left"/>
              <w:rPr>
                <w:rFonts w:ascii="仿宋_GB2312" w:hAnsi="宋体" w:eastAsia="仿宋_GB2312" w:cs="宋体"/>
                <w:kern w:val="0"/>
                <w:sz w:val="22"/>
                <w:szCs w:val="21"/>
              </w:rPr>
            </w:pPr>
            <w:r>
              <w:rPr>
                <w:rFonts w:hint="eastAsia" w:ascii="仿宋_GB2312" w:hAnsi="宋体" w:eastAsia="仿宋_GB2312" w:cs="宋体"/>
                <w:kern w:val="0"/>
                <w:sz w:val="22"/>
              </w:rPr>
              <w:t>3.自编或参与编写过高水平、有特色、版本新的教材。</w:t>
            </w:r>
          </w:p>
        </w:tc>
        <w:tc>
          <w:tcPr>
            <w:tcW w:w="65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ascii="仿宋_GB2312" w:hAnsi="宋体" w:eastAsia="仿宋_GB2312" w:cs="宋体"/>
                <w:kern w:val="0"/>
                <w:sz w:val="22"/>
              </w:rPr>
              <w:t>15</w:t>
            </w:r>
          </w:p>
        </w:tc>
      </w:tr>
      <w:tr>
        <w:tblPrEx>
          <w:tblCellMar>
            <w:top w:w="0" w:type="dxa"/>
            <w:left w:w="108" w:type="dxa"/>
            <w:bottom w:w="0" w:type="dxa"/>
            <w:right w:w="108" w:type="dxa"/>
          </w:tblCellMar>
        </w:tblPrEx>
        <w:trPr>
          <w:trHeight w:val="1125"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kern w:val="0"/>
                <w:sz w:val="22"/>
                <w:szCs w:val="21"/>
              </w:rPr>
            </w:pPr>
          </w:p>
        </w:tc>
        <w:tc>
          <w:tcPr>
            <w:tcW w:w="1136"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仿宋_GB2312" w:hAnsi="宋体" w:eastAsia="仿宋_GB2312" w:cs="宋体"/>
                <w:kern w:val="0"/>
                <w:sz w:val="22"/>
                <w:szCs w:val="21"/>
              </w:rPr>
            </w:pPr>
            <w:r>
              <w:rPr>
                <w:rFonts w:hint="eastAsia" w:ascii="仿宋_GB2312" w:hAnsi="宋体" w:eastAsia="仿宋_GB2312" w:cs="宋体"/>
                <w:kern w:val="0"/>
                <w:sz w:val="22"/>
              </w:rPr>
              <w:t>教学</w:t>
            </w:r>
          </w:p>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rPr>
              <w:t>效果</w:t>
            </w:r>
          </w:p>
        </w:tc>
        <w:tc>
          <w:tcPr>
            <w:tcW w:w="7644" w:type="dxa"/>
            <w:tcBorders>
              <w:top w:val="nil"/>
              <w:left w:val="nil"/>
              <w:bottom w:val="single" w:color="auto" w:sz="4" w:space="0"/>
              <w:right w:val="single" w:color="auto" w:sz="4" w:space="0"/>
            </w:tcBorders>
            <w:shd w:val="clear" w:color="auto" w:fill="auto"/>
            <w:vAlign w:val="center"/>
          </w:tcPr>
          <w:p>
            <w:pPr>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1.教学效果好，主讲课程在全市同领域内有较大影响；</w:t>
            </w:r>
          </w:p>
          <w:p>
            <w:pPr>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2.形成独特而有效的教学风格，在北京市起到示范作用；</w:t>
            </w:r>
          </w:p>
          <w:p>
            <w:pPr>
              <w:spacing w:line="360" w:lineRule="exact"/>
              <w:jc w:val="left"/>
              <w:rPr>
                <w:rFonts w:ascii="仿宋_GB2312" w:hAnsi="宋体" w:eastAsia="仿宋_GB2312" w:cs="宋体"/>
                <w:kern w:val="0"/>
                <w:sz w:val="22"/>
                <w:szCs w:val="21"/>
              </w:rPr>
            </w:pPr>
            <w:r>
              <w:rPr>
                <w:rFonts w:hint="eastAsia" w:ascii="仿宋_GB2312" w:hAnsi="宋体" w:eastAsia="仿宋_GB2312" w:cs="宋体"/>
                <w:kern w:val="0"/>
                <w:sz w:val="22"/>
              </w:rPr>
              <w:t>3.学生评价优秀。</w:t>
            </w:r>
          </w:p>
        </w:tc>
        <w:tc>
          <w:tcPr>
            <w:tcW w:w="65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ascii="仿宋_GB2312" w:hAnsi="宋体" w:eastAsia="仿宋_GB2312" w:cs="宋体"/>
                <w:kern w:val="0"/>
                <w:sz w:val="22"/>
              </w:rPr>
              <w:t>10</w:t>
            </w:r>
          </w:p>
        </w:tc>
      </w:tr>
      <w:tr>
        <w:tblPrEx>
          <w:tblCellMar>
            <w:top w:w="0" w:type="dxa"/>
            <w:left w:w="108" w:type="dxa"/>
            <w:bottom w:w="0" w:type="dxa"/>
            <w:right w:w="108" w:type="dxa"/>
          </w:tblCellMar>
        </w:tblPrEx>
        <w:trPr>
          <w:trHeight w:val="1076" w:hRule="atLeast"/>
          <w:jc w:val="center"/>
        </w:trPr>
        <w:tc>
          <w:tcPr>
            <w:tcW w:w="1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kern w:val="0"/>
                <w:sz w:val="22"/>
                <w:szCs w:val="21"/>
              </w:rPr>
            </w:pPr>
            <w:r>
              <w:rPr>
                <w:rFonts w:hint="eastAsia" w:ascii="仿宋_GB2312" w:hAnsi="宋体" w:eastAsia="仿宋_GB2312" w:cs="宋体"/>
                <w:kern w:val="0"/>
                <w:sz w:val="22"/>
              </w:rPr>
              <w:t>3．教学协作能力</w:t>
            </w:r>
          </w:p>
        </w:tc>
        <w:tc>
          <w:tcPr>
            <w:tcW w:w="7644" w:type="dxa"/>
            <w:tcBorders>
              <w:top w:val="nil"/>
              <w:left w:val="nil"/>
              <w:bottom w:val="single" w:color="auto" w:sz="4" w:space="0"/>
              <w:right w:val="single" w:color="auto" w:sz="4" w:space="0"/>
            </w:tcBorders>
            <w:shd w:val="clear" w:color="auto" w:fill="auto"/>
            <w:vAlign w:val="center"/>
          </w:tcPr>
          <w:p>
            <w:pPr>
              <w:spacing w:before="156" w:beforeLines="50" w:line="280" w:lineRule="exact"/>
              <w:jc w:val="left"/>
              <w:rPr>
                <w:rFonts w:ascii="仿宋_GB2312" w:hAnsi="宋体" w:eastAsia="仿宋_GB2312" w:cs="宋体"/>
                <w:kern w:val="0"/>
                <w:sz w:val="22"/>
                <w:szCs w:val="21"/>
              </w:rPr>
            </w:pPr>
            <w:r>
              <w:rPr>
                <w:rFonts w:hint="eastAsia" w:ascii="仿宋_GB2312" w:hAnsi="宋体" w:eastAsia="仿宋_GB2312" w:cs="宋体"/>
                <w:kern w:val="0"/>
                <w:sz w:val="22"/>
              </w:rPr>
              <w:t>积极参与教学团队建设，作为课程主持人或主讲教师对建设结构合理的教学梯队、构建具有良好效果的人才培养模式、提升本领域人才培养效果做出过重要贡献。</w:t>
            </w:r>
          </w:p>
        </w:tc>
        <w:tc>
          <w:tcPr>
            <w:tcW w:w="65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rPr>
              <w:t>15</w:t>
            </w:r>
          </w:p>
        </w:tc>
      </w:tr>
      <w:tr>
        <w:tblPrEx>
          <w:tblCellMar>
            <w:top w:w="0" w:type="dxa"/>
            <w:left w:w="108" w:type="dxa"/>
            <w:bottom w:w="0" w:type="dxa"/>
            <w:right w:w="108" w:type="dxa"/>
          </w:tblCellMar>
        </w:tblPrEx>
        <w:trPr>
          <w:trHeight w:val="660" w:hRule="atLeast"/>
          <w:jc w:val="center"/>
        </w:trPr>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spacing w:before="156" w:beforeLines="50" w:line="280" w:lineRule="exact"/>
              <w:jc w:val="center"/>
              <w:rPr>
                <w:rFonts w:ascii="仿宋_GB2312" w:hAnsi="宋体" w:eastAsia="仿宋_GB2312" w:cs="宋体"/>
                <w:kern w:val="0"/>
                <w:sz w:val="22"/>
                <w:szCs w:val="21"/>
              </w:rPr>
            </w:pPr>
            <w:r>
              <w:rPr>
                <w:rFonts w:hint="eastAsia" w:ascii="仿宋_GB2312" w:hAnsi="宋体" w:eastAsia="仿宋_GB2312" w:cs="宋体"/>
                <w:kern w:val="0"/>
                <w:sz w:val="22"/>
              </w:rPr>
              <w:t>4.科研水平</w:t>
            </w:r>
            <w:r>
              <w:rPr>
                <w:rFonts w:ascii="仿宋_GB2312" w:hAnsi="宋体" w:eastAsia="仿宋_GB2312" w:cs="宋体"/>
                <w:kern w:val="0"/>
                <w:sz w:val="22"/>
              </w:rPr>
              <w:t>与学术支撑</w:t>
            </w:r>
          </w:p>
        </w:tc>
        <w:tc>
          <w:tcPr>
            <w:tcW w:w="1136" w:type="dxa"/>
            <w:tcBorders>
              <w:top w:val="nil"/>
              <w:left w:val="nil"/>
              <w:bottom w:val="single" w:color="auto" w:sz="4" w:space="0"/>
              <w:right w:val="single" w:color="auto" w:sz="4" w:space="0"/>
            </w:tcBorders>
            <w:shd w:val="clear" w:color="auto" w:fill="auto"/>
            <w:vAlign w:val="center"/>
          </w:tcPr>
          <w:p>
            <w:pPr>
              <w:spacing w:line="0" w:lineRule="atLeast"/>
              <w:jc w:val="center"/>
              <w:rPr>
                <w:rFonts w:ascii="仿宋_GB2312" w:hAnsi="宋体" w:eastAsia="仿宋_GB2312" w:cs="宋体"/>
                <w:kern w:val="0"/>
                <w:sz w:val="22"/>
                <w:szCs w:val="21"/>
              </w:rPr>
            </w:pPr>
            <w:r>
              <w:rPr>
                <w:rFonts w:hint="eastAsia" w:ascii="仿宋_GB2312" w:hAnsi="宋体" w:eastAsia="仿宋_GB2312" w:cs="宋体"/>
                <w:kern w:val="0"/>
                <w:sz w:val="22"/>
              </w:rPr>
              <w:t>科研</w:t>
            </w:r>
          </w:p>
          <w:p>
            <w:pPr>
              <w:spacing w:line="0" w:lineRule="atLeast"/>
              <w:jc w:val="center"/>
              <w:rPr>
                <w:rFonts w:ascii="仿宋_GB2312" w:hAnsi="宋体" w:eastAsia="仿宋_GB2312" w:cs="宋体"/>
                <w:kern w:val="0"/>
                <w:sz w:val="22"/>
                <w:szCs w:val="21"/>
              </w:rPr>
            </w:pPr>
            <w:r>
              <w:rPr>
                <w:rFonts w:hint="eastAsia" w:ascii="仿宋_GB2312" w:hAnsi="宋体" w:eastAsia="仿宋_GB2312" w:cs="宋体"/>
                <w:kern w:val="0"/>
                <w:sz w:val="22"/>
              </w:rPr>
              <w:t>水平</w:t>
            </w:r>
          </w:p>
        </w:tc>
        <w:tc>
          <w:tcPr>
            <w:tcW w:w="7644" w:type="dxa"/>
            <w:tcBorders>
              <w:top w:val="nil"/>
              <w:left w:val="nil"/>
              <w:bottom w:val="single" w:color="auto" w:sz="4" w:space="0"/>
              <w:right w:val="single" w:color="auto" w:sz="4" w:space="0"/>
            </w:tcBorders>
            <w:shd w:val="clear" w:color="auto" w:fill="auto"/>
            <w:vAlign w:val="center"/>
          </w:tcPr>
          <w:p>
            <w:pPr>
              <w:spacing w:before="156" w:beforeLines="50" w:line="280" w:lineRule="exact"/>
              <w:jc w:val="left"/>
              <w:rPr>
                <w:rFonts w:ascii="仿宋_GB2312" w:hAnsi="宋体" w:eastAsia="仿宋_GB2312" w:cs="宋体"/>
                <w:kern w:val="0"/>
                <w:sz w:val="22"/>
                <w:szCs w:val="21"/>
              </w:rPr>
            </w:pPr>
            <w:r>
              <w:rPr>
                <w:rFonts w:hint="eastAsia" w:ascii="仿宋_GB2312" w:hAnsi="宋体" w:eastAsia="仿宋_GB2312" w:cs="宋体"/>
                <w:kern w:val="0"/>
                <w:sz w:val="22"/>
              </w:rPr>
              <w:t>主持或参与过高级别科研项目，取得过相应科研成果，获省部级以上奖励（特殊学科和基础课教师可酌情考虑降低此项要求）。</w:t>
            </w:r>
          </w:p>
        </w:tc>
        <w:tc>
          <w:tcPr>
            <w:tcW w:w="65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rPr>
              <w:t>10</w:t>
            </w:r>
          </w:p>
        </w:tc>
      </w:tr>
      <w:tr>
        <w:tblPrEx>
          <w:tblCellMar>
            <w:top w:w="0" w:type="dxa"/>
            <w:left w:w="108" w:type="dxa"/>
            <w:bottom w:w="0" w:type="dxa"/>
            <w:right w:w="108" w:type="dxa"/>
          </w:tblCellMar>
        </w:tblPrEx>
        <w:trPr>
          <w:trHeight w:val="660" w:hRule="atLeast"/>
          <w:jc w:val="center"/>
        </w:trPr>
        <w:tc>
          <w:tcPr>
            <w:tcW w:w="85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kern w:val="0"/>
                <w:sz w:val="22"/>
                <w:szCs w:val="21"/>
              </w:rPr>
            </w:pPr>
          </w:p>
        </w:tc>
        <w:tc>
          <w:tcPr>
            <w:tcW w:w="1136" w:type="dxa"/>
            <w:tcBorders>
              <w:top w:val="nil"/>
              <w:left w:val="nil"/>
              <w:bottom w:val="single" w:color="auto" w:sz="4" w:space="0"/>
              <w:right w:val="single" w:color="auto" w:sz="4" w:space="0"/>
            </w:tcBorders>
            <w:shd w:val="clear" w:color="auto" w:fill="auto"/>
            <w:vAlign w:val="center"/>
          </w:tcPr>
          <w:p>
            <w:pPr>
              <w:spacing w:line="0" w:lineRule="atLeast"/>
              <w:jc w:val="center"/>
              <w:rPr>
                <w:rFonts w:ascii="仿宋_GB2312" w:hAnsi="宋体" w:eastAsia="仿宋_GB2312" w:cs="宋体"/>
                <w:kern w:val="0"/>
                <w:sz w:val="22"/>
                <w:szCs w:val="21"/>
              </w:rPr>
            </w:pPr>
            <w:r>
              <w:rPr>
                <w:rFonts w:hint="eastAsia" w:ascii="仿宋_GB2312" w:hAnsi="宋体" w:eastAsia="仿宋_GB2312" w:cs="宋体"/>
                <w:kern w:val="0"/>
                <w:sz w:val="22"/>
              </w:rPr>
              <w:t>学术</w:t>
            </w:r>
          </w:p>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rPr>
              <w:t>支撑</w:t>
            </w:r>
          </w:p>
        </w:tc>
        <w:tc>
          <w:tcPr>
            <w:tcW w:w="7644" w:type="dxa"/>
            <w:tcBorders>
              <w:top w:val="nil"/>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2"/>
                <w:szCs w:val="21"/>
              </w:rPr>
            </w:pPr>
            <w:r>
              <w:rPr>
                <w:rFonts w:hint="eastAsia" w:ascii="仿宋_GB2312" w:hAnsi="宋体" w:eastAsia="仿宋_GB2312" w:cs="宋体"/>
                <w:kern w:val="0"/>
                <w:sz w:val="22"/>
              </w:rPr>
              <w:t>学术造诣较高，科研成果能有效支撑和服务教学。</w:t>
            </w:r>
          </w:p>
        </w:tc>
        <w:tc>
          <w:tcPr>
            <w:tcW w:w="65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rPr>
              <w:t>10</w:t>
            </w:r>
          </w:p>
        </w:tc>
      </w:tr>
      <w:tr>
        <w:tblPrEx>
          <w:tblCellMar>
            <w:top w:w="0" w:type="dxa"/>
            <w:left w:w="108" w:type="dxa"/>
            <w:bottom w:w="0" w:type="dxa"/>
            <w:right w:w="108" w:type="dxa"/>
          </w:tblCellMar>
        </w:tblPrEx>
        <w:trPr>
          <w:trHeight w:val="437" w:hRule="atLeast"/>
          <w:jc w:val="center"/>
        </w:trPr>
        <w:tc>
          <w:tcPr>
            <w:tcW w:w="9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b/>
                <w:kern w:val="0"/>
                <w:sz w:val="22"/>
                <w:szCs w:val="21"/>
              </w:rPr>
            </w:pPr>
            <w:r>
              <w:rPr>
                <w:rFonts w:hint="eastAsia" w:ascii="仿宋_GB2312" w:hAnsi="宋体" w:eastAsia="仿宋_GB2312" w:cs="宋体"/>
                <w:b/>
                <w:kern w:val="0"/>
                <w:sz w:val="22"/>
              </w:rPr>
              <w:t>总分合计</w:t>
            </w:r>
          </w:p>
        </w:tc>
        <w:tc>
          <w:tcPr>
            <w:tcW w:w="65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2"/>
                <w:szCs w:val="21"/>
              </w:rPr>
            </w:pPr>
            <w:r>
              <w:rPr>
                <w:rFonts w:hint="eastAsia" w:ascii="仿宋_GB2312" w:hAnsi="宋体" w:eastAsia="仿宋_GB2312" w:cs="宋体"/>
                <w:kern w:val="0"/>
                <w:sz w:val="22"/>
              </w:rPr>
              <w:t>100</w:t>
            </w:r>
          </w:p>
        </w:tc>
      </w:tr>
    </w:tbl>
    <w:p>
      <w:pPr>
        <w:rPr>
          <w:rFonts w:asciiTheme="minorEastAsia" w:hAnsiTheme="minorEastAsia"/>
          <w:sz w:val="28"/>
        </w:rPr>
      </w:pPr>
      <w:r>
        <w:rPr>
          <w:rFonts w:hint="eastAsia" w:asciiTheme="minorEastAsia" w:hAnsiTheme="minorEastAsia"/>
          <w:sz w:val="28"/>
        </w:rPr>
        <w:t>注：此评价指标为2018年版，供参考。</w:t>
      </w:r>
    </w:p>
    <w:p>
      <w:pPr>
        <w:rPr>
          <w:rFonts w:cs="宋体" w:asciiTheme="minorEastAsia" w:hAnsiTheme="minorEastAsia"/>
          <w:b/>
          <w:bCs/>
          <w:kern w:val="0"/>
          <w:sz w:val="28"/>
          <w:szCs w:val="32"/>
        </w:rPr>
      </w:pPr>
      <w:r>
        <w:rPr>
          <w:rFonts w:hint="eastAsia" w:cs="宋体" w:asciiTheme="minorEastAsia" w:hAnsiTheme="minorEastAsia"/>
          <w:b/>
          <w:bCs/>
          <w:kern w:val="0"/>
          <w:sz w:val="28"/>
          <w:szCs w:val="32"/>
        </w:rPr>
        <w:br w:type="page"/>
      </w:r>
    </w:p>
    <w:p>
      <w:pPr>
        <w:rPr>
          <w:rFonts w:ascii="仿宋_GB2312" w:hAnsi="宋体" w:eastAsia="仿宋_GB2312" w:cs="宋体"/>
          <w:kern w:val="0"/>
          <w:sz w:val="28"/>
          <w:szCs w:val="22"/>
        </w:rPr>
      </w:pPr>
      <w:r>
        <w:rPr>
          <w:rFonts w:hint="eastAsia" w:ascii="仿宋_GB2312" w:hAnsi="宋体" w:eastAsia="仿宋_GB2312" w:cs="宋体"/>
          <w:kern w:val="0"/>
          <w:sz w:val="28"/>
          <w:szCs w:val="22"/>
        </w:rPr>
        <w:t>附件1-3</w:t>
      </w:r>
    </w:p>
    <w:p>
      <w:pPr>
        <w:widowControl/>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北京市高等学校教学名师奖、青年教学名师奖</w:t>
      </w:r>
    </w:p>
    <w:p>
      <w:pPr>
        <w:widowControl/>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现场授课评价指标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640"/>
        <w:gridCol w:w="6332"/>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gridSpan w:val="2"/>
            <w:vAlign w:val="center"/>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项目</w:t>
            </w:r>
          </w:p>
        </w:tc>
        <w:tc>
          <w:tcPr>
            <w:tcW w:w="6332" w:type="dxa"/>
            <w:vAlign w:val="center"/>
          </w:tcPr>
          <w:p>
            <w:pPr>
              <w:spacing w:line="48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评 测 要 求</w:t>
            </w:r>
          </w:p>
        </w:tc>
        <w:tc>
          <w:tcPr>
            <w:tcW w:w="781"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69" w:type="dxa"/>
            <w:vMerge w:val="restart"/>
            <w:vAlign w:val="center"/>
          </w:tcPr>
          <w:p>
            <w:pPr>
              <w:jc w:val="center"/>
              <w:rPr>
                <w:rFonts w:ascii="仿宋_GB2312" w:hAnsi="仿宋_GB2312" w:eastAsia="仿宋_GB2312" w:cs="仿宋_GB2312"/>
                <w:b/>
                <w:bCs/>
                <w:sz w:val="32"/>
              </w:rPr>
            </w:pPr>
            <w:r>
              <w:rPr>
                <w:rFonts w:hint="eastAsia" w:ascii="仿宋_GB2312" w:hAnsi="仿宋_GB2312" w:eastAsia="仿宋_GB2312" w:cs="仿宋_GB2312"/>
                <w:b/>
                <w:bCs/>
                <w:sz w:val="32"/>
              </w:rPr>
              <w:t>教</w:t>
            </w:r>
          </w:p>
          <w:p>
            <w:pPr>
              <w:jc w:val="center"/>
              <w:rPr>
                <w:rFonts w:ascii="仿宋_GB2312" w:hAnsi="仿宋_GB2312" w:eastAsia="仿宋_GB2312" w:cs="仿宋_GB2312"/>
                <w:b/>
                <w:bCs/>
                <w:sz w:val="32"/>
              </w:rPr>
            </w:pPr>
            <w:r>
              <w:rPr>
                <w:rFonts w:hint="eastAsia" w:ascii="仿宋_GB2312" w:hAnsi="仿宋_GB2312" w:eastAsia="仿宋_GB2312" w:cs="仿宋_GB2312"/>
                <w:b/>
                <w:bCs/>
                <w:sz w:val="32"/>
              </w:rPr>
              <w:t>学</w:t>
            </w:r>
          </w:p>
          <w:p>
            <w:pPr>
              <w:jc w:val="center"/>
              <w:rPr>
                <w:rFonts w:ascii="仿宋_GB2312" w:hAnsi="仿宋_GB2312" w:eastAsia="仿宋_GB2312" w:cs="仿宋_GB2312"/>
                <w:b/>
                <w:bCs/>
                <w:sz w:val="32"/>
              </w:rPr>
            </w:pPr>
            <w:r>
              <w:rPr>
                <w:rFonts w:hint="eastAsia" w:ascii="仿宋_GB2312" w:hAnsi="仿宋_GB2312" w:eastAsia="仿宋_GB2312" w:cs="仿宋_GB2312"/>
                <w:b/>
                <w:bCs/>
                <w:sz w:val="32"/>
              </w:rPr>
              <w:t>演</w:t>
            </w:r>
          </w:p>
          <w:p>
            <w:pPr>
              <w:jc w:val="center"/>
              <w:rPr>
                <w:rFonts w:ascii="仿宋_GB2312" w:hAnsi="仿宋_GB2312" w:eastAsia="仿宋_GB2312" w:cs="仿宋_GB2312"/>
                <w:b/>
                <w:bCs/>
                <w:sz w:val="28"/>
                <w:szCs w:val="22"/>
              </w:rPr>
            </w:pPr>
            <w:r>
              <w:rPr>
                <w:rFonts w:hint="eastAsia" w:ascii="仿宋_GB2312" w:hAnsi="仿宋_GB2312" w:eastAsia="仿宋_GB2312" w:cs="仿宋_GB2312"/>
                <w:b/>
                <w:bCs/>
                <w:sz w:val="32"/>
              </w:rPr>
              <w:t>示</w:t>
            </w:r>
          </w:p>
          <w:p>
            <w:pPr>
              <w:jc w:val="center"/>
              <w:rPr>
                <w:rFonts w:ascii="仿宋_GB2312" w:hAnsi="仿宋_GB2312" w:eastAsia="仿宋_GB2312" w:cs="仿宋_GB2312"/>
              </w:rPr>
            </w:pPr>
            <w:r>
              <w:rPr>
                <w:rFonts w:hint="eastAsia" w:ascii="仿宋_GB2312" w:hAnsi="仿宋_GB2312" w:eastAsia="仿宋_GB2312" w:cs="仿宋_GB2312"/>
                <w:iCs/>
                <w:sz w:val="24"/>
              </w:rPr>
              <w:t>80分</w:t>
            </w:r>
          </w:p>
        </w:tc>
        <w:tc>
          <w:tcPr>
            <w:tcW w:w="640" w:type="dxa"/>
            <w:vMerge w:val="restart"/>
            <w:vAlign w:val="center"/>
          </w:tcPr>
          <w:p>
            <w:pPr>
              <w:numPr>
                <w:ilvl w:val="255"/>
                <w:numId w:val="0"/>
              </w:numPr>
              <w:jc w:val="center"/>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教学内容</w:t>
            </w:r>
          </w:p>
          <w:p>
            <w:pPr>
              <w:numPr>
                <w:ilvl w:val="255"/>
                <w:numId w:val="0"/>
              </w:numPr>
              <w:jc w:val="center"/>
              <w:rPr>
                <w:rFonts w:ascii="仿宋_GB2312" w:hAnsi="仿宋_GB2312" w:eastAsia="仿宋_GB2312" w:cs="仿宋_GB2312"/>
              </w:rPr>
            </w:pPr>
            <w:r>
              <w:rPr>
                <w:rFonts w:hint="eastAsia" w:ascii="仿宋_GB2312" w:hAnsi="仿宋_GB2312" w:eastAsia="仿宋_GB2312" w:cs="仿宋_GB2312"/>
                <w:iCs/>
                <w:szCs w:val="21"/>
              </w:rPr>
              <w:t>27分</w:t>
            </w:r>
          </w:p>
        </w:tc>
        <w:tc>
          <w:tcPr>
            <w:tcW w:w="6332" w:type="dxa"/>
            <w:vAlign w:val="center"/>
          </w:tcPr>
          <w:p>
            <w:pPr>
              <w:numPr>
                <w:ilvl w:val="255"/>
                <w:numId w:val="0"/>
              </w:numPr>
              <w:rPr>
                <w:rFonts w:ascii="仿宋_GB2312" w:hAnsi="仿宋_GB2312" w:eastAsia="仿宋_GB2312" w:cs="仿宋_GB2312"/>
              </w:rPr>
            </w:pPr>
            <w:r>
              <w:rPr>
                <w:rFonts w:hint="eastAsia" w:ascii="仿宋_GB2312" w:hAnsi="仿宋_GB2312" w:eastAsia="仿宋_GB2312" w:cs="仿宋_GB2312"/>
                <w:sz w:val="24"/>
              </w:rPr>
              <w:t>教学内容科学性强，理论联系实际</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69" w:type="dxa"/>
            <w:vMerge w:val="continue"/>
          </w:tcPr>
          <w:p>
            <w:pPr>
              <w:rPr>
                <w:rFonts w:ascii="仿宋_GB2312" w:hAnsi="仿宋_GB2312" w:eastAsia="仿宋_GB2312" w:cs="仿宋_GB2312"/>
              </w:rPr>
            </w:pPr>
          </w:p>
        </w:tc>
        <w:tc>
          <w:tcPr>
            <w:tcW w:w="640" w:type="dxa"/>
            <w:vMerge w:val="continue"/>
            <w:vAlign w:val="center"/>
          </w:tcPr>
          <w:p>
            <w:pPr>
              <w:jc w:val="center"/>
              <w:rPr>
                <w:rFonts w:ascii="仿宋_GB2312" w:hAnsi="仿宋_GB2312" w:eastAsia="仿宋_GB2312" w:cs="仿宋_GB2312"/>
              </w:rPr>
            </w:pPr>
          </w:p>
        </w:tc>
        <w:tc>
          <w:tcPr>
            <w:tcW w:w="6332" w:type="dxa"/>
            <w:vAlign w:val="center"/>
          </w:tcPr>
          <w:p>
            <w:pPr>
              <w:numPr>
                <w:ilvl w:val="255"/>
                <w:numId w:val="0"/>
              </w:numPr>
              <w:rPr>
                <w:rFonts w:ascii="仿宋_GB2312" w:hAnsi="仿宋_GB2312" w:eastAsia="仿宋_GB2312" w:cs="仿宋_GB2312"/>
              </w:rPr>
            </w:pPr>
            <w:r>
              <w:rPr>
                <w:rFonts w:hint="eastAsia" w:ascii="仿宋_GB2312" w:hAnsi="仿宋_GB2312" w:eastAsia="仿宋_GB2312" w:cs="仿宋_GB2312"/>
                <w:sz w:val="24"/>
              </w:rPr>
              <w:t>教学内容学术性强，渗透专业思想，教学内容能承前启后，循序渐进，重点突出，逻辑性强</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69" w:type="dxa"/>
            <w:vMerge w:val="continue"/>
          </w:tcPr>
          <w:p>
            <w:pPr>
              <w:rPr>
                <w:rFonts w:ascii="仿宋_GB2312" w:hAnsi="仿宋_GB2312" w:eastAsia="仿宋_GB2312" w:cs="仿宋_GB2312"/>
              </w:rPr>
            </w:pPr>
          </w:p>
        </w:tc>
        <w:tc>
          <w:tcPr>
            <w:tcW w:w="640" w:type="dxa"/>
            <w:vMerge w:val="continue"/>
            <w:vAlign w:val="center"/>
          </w:tcPr>
          <w:p>
            <w:pPr>
              <w:jc w:val="center"/>
              <w:rPr>
                <w:rFonts w:ascii="仿宋_GB2312" w:hAnsi="仿宋_GB2312" w:eastAsia="仿宋_GB2312" w:cs="仿宋_GB2312"/>
              </w:rPr>
            </w:pPr>
          </w:p>
        </w:tc>
        <w:tc>
          <w:tcPr>
            <w:tcW w:w="6332" w:type="dxa"/>
            <w:vAlign w:val="center"/>
          </w:tcPr>
          <w:p>
            <w:pPr>
              <w:rPr>
                <w:rFonts w:ascii="仿宋_GB2312" w:hAnsi="仿宋_GB2312" w:eastAsia="仿宋_GB2312" w:cs="仿宋_GB2312"/>
              </w:rPr>
            </w:pPr>
            <w:r>
              <w:rPr>
                <w:rFonts w:hint="eastAsia" w:ascii="仿宋_GB2312" w:hAnsi="仿宋_GB2312" w:eastAsia="仿宋_GB2312" w:cs="仿宋_GB2312"/>
                <w:sz w:val="24"/>
              </w:rPr>
              <w:t>教学内容启发性强，符合学生认知规律，注重培养能力</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9" w:type="dxa"/>
            <w:vMerge w:val="continue"/>
          </w:tcPr>
          <w:p>
            <w:pPr>
              <w:rPr>
                <w:rFonts w:ascii="仿宋_GB2312" w:hAnsi="仿宋_GB2312" w:eastAsia="仿宋_GB2312" w:cs="仿宋_GB2312"/>
              </w:rPr>
            </w:pPr>
          </w:p>
        </w:tc>
        <w:tc>
          <w:tcPr>
            <w:tcW w:w="640" w:type="dxa"/>
            <w:vMerge w:val="continue"/>
            <w:vAlign w:val="center"/>
          </w:tcPr>
          <w:p>
            <w:pPr>
              <w:jc w:val="center"/>
              <w:rPr>
                <w:rFonts w:ascii="仿宋_GB2312" w:hAnsi="仿宋_GB2312" w:eastAsia="仿宋_GB2312" w:cs="仿宋_GB2312"/>
              </w:rPr>
            </w:pPr>
          </w:p>
        </w:tc>
        <w:tc>
          <w:tcPr>
            <w:tcW w:w="6332" w:type="dxa"/>
            <w:vAlign w:val="center"/>
          </w:tcPr>
          <w:p>
            <w:pPr>
              <w:rPr>
                <w:rFonts w:ascii="仿宋_GB2312" w:hAnsi="仿宋_GB2312" w:eastAsia="仿宋_GB2312" w:cs="仿宋_GB2312"/>
              </w:rPr>
            </w:pPr>
            <w:r>
              <w:rPr>
                <w:rFonts w:hint="eastAsia" w:ascii="仿宋_GB2312" w:hAnsi="仿宋_GB2312" w:eastAsia="仿宋_GB2312" w:cs="仿宋_GB2312"/>
                <w:sz w:val="24"/>
              </w:rPr>
              <w:t>教学内容思想性强，引导学生树立专业意识、正确的世界观和价值观</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9" w:type="dxa"/>
            <w:vMerge w:val="continue"/>
          </w:tcPr>
          <w:p>
            <w:pPr>
              <w:rPr>
                <w:rFonts w:ascii="仿宋_GB2312" w:hAnsi="仿宋_GB2312" w:eastAsia="仿宋_GB2312" w:cs="仿宋_GB2312"/>
              </w:rPr>
            </w:pPr>
          </w:p>
        </w:tc>
        <w:tc>
          <w:tcPr>
            <w:tcW w:w="640" w:type="dxa"/>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b/>
                <w:bCs/>
                <w:sz w:val="24"/>
                <w:szCs w:val="21"/>
              </w:rPr>
              <w:t>教学设计</w:t>
            </w:r>
            <w:r>
              <w:rPr>
                <w:rFonts w:hint="eastAsia" w:ascii="仿宋_GB2312" w:hAnsi="仿宋_GB2312" w:eastAsia="仿宋_GB2312" w:cs="仿宋_GB2312"/>
                <w:iCs/>
                <w:szCs w:val="18"/>
              </w:rPr>
              <w:t>28分</w:t>
            </w:r>
          </w:p>
        </w:tc>
        <w:tc>
          <w:tcPr>
            <w:tcW w:w="6332" w:type="dxa"/>
            <w:vAlign w:val="center"/>
          </w:tcPr>
          <w:p>
            <w:pPr>
              <w:rPr>
                <w:rFonts w:ascii="仿宋_GB2312" w:hAnsi="仿宋_GB2312" w:eastAsia="仿宋_GB2312" w:cs="仿宋_GB2312"/>
              </w:rPr>
            </w:pPr>
            <w:r>
              <w:rPr>
                <w:rFonts w:hint="eastAsia" w:ascii="仿宋_GB2312" w:hAnsi="仿宋_GB2312" w:eastAsia="仿宋_GB2312" w:cs="仿宋_GB2312"/>
                <w:sz w:val="24"/>
              </w:rPr>
              <w:t>教学活动多样灵活，教与学活动有机结合，突出学生的主体性</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9" w:type="dxa"/>
            <w:vMerge w:val="continue"/>
          </w:tcPr>
          <w:p>
            <w:pPr>
              <w:rPr>
                <w:rFonts w:ascii="仿宋_GB2312" w:hAnsi="仿宋_GB2312" w:eastAsia="仿宋_GB2312" w:cs="仿宋_GB2312"/>
              </w:rPr>
            </w:pPr>
          </w:p>
        </w:tc>
        <w:tc>
          <w:tcPr>
            <w:tcW w:w="640" w:type="dxa"/>
            <w:vMerge w:val="continue"/>
            <w:vAlign w:val="center"/>
          </w:tcPr>
          <w:p>
            <w:pPr>
              <w:jc w:val="center"/>
              <w:rPr>
                <w:rFonts w:ascii="仿宋_GB2312" w:hAnsi="仿宋_GB2312" w:eastAsia="仿宋_GB2312" w:cs="仿宋_GB2312"/>
              </w:rPr>
            </w:pPr>
          </w:p>
        </w:tc>
        <w:tc>
          <w:tcPr>
            <w:tcW w:w="6332" w:type="dxa"/>
            <w:vAlign w:val="center"/>
          </w:tcPr>
          <w:p>
            <w:pPr>
              <w:rPr>
                <w:rFonts w:ascii="仿宋_GB2312" w:hAnsi="仿宋_GB2312" w:eastAsia="仿宋_GB2312" w:cs="仿宋_GB2312"/>
              </w:rPr>
            </w:pPr>
            <w:r>
              <w:rPr>
                <w:rFonts w:hint="eastAsia" w:ascii="仿宋_GB2312" w:hAnsi="仿宋_GB2312" w:eastAsia="仿宋_GB2312" w:cs="仿宋_GB2312"/>
                <w:sz w:val="24"/>
              </w:rPr>
              <w:t>采用多种教学策略，能有效地调动学生的学习积极性</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69" w:type="dxa"/>
            <w:vMerge w:val="continue"/>
          </w:tcPr>
          <w:p>
            <w:pPr>
              <w:rPr>
                <w:rFonts w:ascii="仿宋_GB2312" w:hAnsi="仿宋_GB2312" w:eastAsia="仿宋_GB2312" w:cs="仿宋_GB2312"/>
              </w:rPr>
            </w:pPr>
          </w:p>
        </w:tc>
        <w:tc>
          <w:tcPr>
            <w:tcW w:w="640" w:type="dxa"/>
            <w:vMerge w:val="continue"/>
            <w:vAlign w:val="center"/>
          </w:tcPr>
          <w:p>
            <w:pPr>
              <w:jc w:val="center"/>
              <w:rPr>
                <w:rFonts w:ascii="仿宋_GB2312" w:hAnsi="仿宋_GB2312" w:eastAsia="仿宋_GB2312" w:cs="仿宋_GB2312"/>
              </w:rPr>
            </w:pPr>
          </w:p>
        </w:tc>
        <w:tc>
          <w:tcPr>
            <w:tcW w:w="6332" w:type="dxa"/>
            <w:vAlign w:val="center"/>
          </w:tcPr>
          <w:p>
            <w:pPr>
              <w:numPr>
                <w:ilvl w:val="255"/>
                <w:numId w:val="0"/>
              </w:numPr>
              <w:rPr>
                <w:rFonts w:ascii="仿宋_GB2312" w:hAnsi="仿宋_GB2312" w:eastAsia="仿宋_GB2312" w:cs="仿宋_GB2312"/>
              </w:rPr>
            </w:pPr>
            <w:r>
              <w:rPr>
                <w:rFonts w:hint="eastAsia" w:ascii="仿宋_GB2312" w:hAnsi="仿宋_GB2312" w:eastAsia="仿宋_GB2312" w:cs="仿宋_GB2312"/>
                <w:sz w:val="24"/>
              </w:rPr>
              <w:t>熟练、恰当地运用多媒体教学手段，有效提高教学质量</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69" w:type="dxa"/>
            <w:vMerge w:val="continue"/>
          </w:tcPr>
          <w:p>
            <w:pPr>
              <w:rPr>
                <w:rFonts w:ascii="仿宋_GB2312" w:hAnsi="仿宋_GB2312" w:eastAsia="仿宋_GB2312" w:cs="仿宋_GB2312"/>
              </w:rPr>
            </w:pPr>
          </w:p>
        </w:tc>
        <w:tc>
          <w:tcPr>
            <w:tcW w:w="640" w:type="dxa"/>
            <w:vMerge w:val="continue"/>
            <w:vAlign w:val="center"/>
          </w:tcPr>
          <w:p>
            <w:pPr>
              <w:jc w:val="center"/>
              <w:rPr>
                <w:rFonts w:ascii="仿宋_GB2312" w:hAnsi="仿宋_GB2312" w:eastAsia="仿宋_GB2312" w:cs="仿宋_GB2312"/>
              </w:rPr>
            </w:pPr>
          </w:p>
        </w:tc>
        <w:tc>
          <w:tcPr>
            <w:tcW w:w="6332" w:type="dxa"/>
            <w:vAlign w:val="center"/>
          </w:tcPr>
          <w:p>
            <w:pPr>
              <w:rPr>
                <w:rFonts w:ascii="仿宋_GB2312" w:hAnsi="仿宋_GB2312" w:eastAsia="仿宋_GB2312" w:cs="仿宋_GB2312"/>
              </w:rPr>
            </w:pPr>
            <w:r>
              <w:rPr>
                <w:rFonts w:hint="eastAsia" w:ascii="仿宋_GB2312" w:hAnsi="仿宋_GB2312" w:eastAsia="仿宋_GB2312" w:cs="仿宋_GB2312"/>
                <w:sz w:val="24"/>
              </w:rPr>
              <w:t>课堂提问能启发学生思考，与学生有效交流与沟通</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9" w:type="dxa"/>
            <w:vMerge w:val="continue"/>
          </w:tcPr>
          <w:p>
            <w:pPr>
              <w:rPr>
                <w:rFonts w:ascii="仿宋_GB2312" w:hAnsi="仿宋_GB2312" w:eastAsia="仿宋_GB2312" w:cs="仿宋_GB2312"/>
              </w:rPr>
            </w:pPr>
          </w:p>
        </w:tc>
        <w:tc>
          <w:tcPr>
            <w:tcW w:w="640" w:type="dxa"/>
            <w:vMerge w:val="restart"/>
            <w:vAlign w:val="center"/>
          </w:tcPr>
          <w:p>
            <w:pPr>
              <w:jc w:val="center"/>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教学语言与教态</w:t>
            </w:r>
          </w:p>
          <w:p>
            <w:pPr>
              <w:jc w:val="center"/>
              <w:rPr>
                <w:rFonts w:ascii="仿宋_GB2312" w:hAnsi="仿宋_GB2312" w:eastAsia="仿宋_GB2312" w:cs="仿宋_GB2312"/>
                <w:b/>
                <w:bCs/>
                <w:sz w:val="24"/>
                <w:szCs w:val="21"/>
              </w:rPr>
            </w:pPr>
            <w:r>
              <w:rPr>
                <w:rFonts w:hint="eastAsia" w:ascii="仿宋_GB2312" w:hAnsi="仿宋_GB2312" w:eastAsia="仿宋_GB2312" w:cs="仿宋_GB2312"/>
                <w:iCs/>
                <w:szCs w:val="18"/>
              </w:rPr>
              <w:t>15分</w:t>
            </w:r>
          </w:p>
        </w:tc>
        <w:tc>
          <w:tcPr>
            <w:tcW w:w="6332" w:type="dxa"/>
            <w:vAlign w:val="center"/>
          </w:tcPr>
          <w:p>
            <w:pPr>
              <w:rPr>
                <w:rFonts w:ascii="仿宋_GB2312" w:hAnsi="仿宋_GB2312" w:eastAsia="仿宋_GB2312" w:cs="仿宋_GB2312"/>
              </w:rPr>
            </w:pPr>
            <w:r>
              <w:rPr>
                <w:rFonts w:hint="eastAsia" w:ascii="仿宋_GB2312" w:hAnsi="仿宋_GB2312" w:eastAsia="仿宋_GB2312" w:cs="仿宋_GB2312"/>
                <w:sz w:val="24"/>
              </w:rPr>
              <w:t>着装整洁得体，教态自然大方，亲和力强</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9" w:type="dxa"/>
            <w:vMerge w:val="continue"/>
          </w:tcPr>
          <w:p>
            <w:pPr>
              <w:rPr>
                <w:rFonts w:ascii="仿宋_GB2312" w:hAnsi="仿宋_GB2312" w:eastAsia="仿宋_GB2312" w:cs="仿宋_GB2312"/>
              </w:rPr>
            </w:pPr>
          </w:p>
        </w:tc>
        <w:tc>
          <w:tcPr>
            <w:tcW w:w="640" w:type="dxa"/>
            <w:vMerge w:val="continue"/>
            <w:vAlign w:val="center"/>
          </w:tcPr>
          <w:p>
            <w:pPr>
              <w:jc w:val="center"/>
              <w:rPr>
                <w:rFonts w:ascii="仿宋_GB2312" w:hAnsi="仿宋_GB2312" w:eastAsia="仿宋_GB2312" w:cs="仿宋_GB2312"/>
              </w:rPr>
            </w:pPr>
          </w:p>
        </w:tc>
        <w:tc>
          <w:tcPr>
            <w:tcW w:w="6332" w:type="dxa"/>
            <w:vAlign w:val="center"/>
          </w:tcPr>
          <w:p>
            <w:pPr>
              <w:numPr>
                <w:ilvl w:val="255"/>
                <w:numId w:val="0"/>
              </w:numPr>
              <w:rPr>
                <w:rFonts w:ascii="仿宋_GB2312" w:hAnsi="仿宋_GB2312" w:eastAsia="仿宋_GB2312" w:cs="仿宋_GB2312"/>
              </w:rPr>
            </w:pPr>
            <w:r>
              <w:rPr>
                <w:rFonts w:hint="eastAsia" w:ascii="仿宋_GB2312" w:hAnsi="仿宋_GB2312" w:eastAsia="仿宋_GB2312" w:cs="仿宋_GB2312"/>
                <w:sz w:val="24"/>
              </w:rPr>
              <w:t>普通话讲课，语言清晰生动，表达能力强</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69" w:type="dxa"/>
            <w:vMerge w:val="continue"/>
          </w:tcPr>
          <w:p>
            <w:pPr>
              <w:rPr>
                <w:rFonts w:ascii="仿宋_GB2312" w:hAnsi="仿宋_GB2312" w:eastAsia="仿宋_GB2312" w:cs="仿宋_GB2312"/>
              </w:rPr>
            </w:pPr>
          </w:p>
        </w:tc>
        <w:tc>
          <w:tcPr>
            <w:tcW w:w="640" w:type="dxa"/>
            <w:vMerge w:val="continue"/>
            <w:vAlign w:val="center"/>
          </w:tcPr>
          <w:p>
            <w:pPr>
              <w:jc w:val="center"/>
              <w:rPr>
                <w:rFonts w:ascii="仿宋_GB2312" w:hAnsi="仿宋_GB2312" w:eastAsia="仿宋_GB2312" w:cs="仿宋_GB2312"/>
              </w:rPr>
            </w:pPr>
          </w:p>
        </w:tc>
        <w:tc>
          <w:tcPr>
            <w:tcW w:w="6332" w:type="dxa"/>
            <w:vAlign w:val="center"/>
          </w:tcPr>
          <w:p>
            <w:pPr>
              <w:rPr>
                <w:rFonts w:ascii="仿宋_GB2312" w:hAnsi="仿宋_GB2312" w:eastAsia="仿宋_GB2312" w:cs="仿宋_GB2312"/>
              </w:rPr>
            </w:pPr>
            <w:r>
              <w:rPr>
                <w:rFonts w:hint="eastAsia" w:ascii="仿宋_GB2312" w:hAnsi="仿宋_GB2312" w:eastAsia="仿宋_GB2312" w:cs="仿宋_GB2312"/>
                <w:sz w:val="24"/>
              </w:rPr>
              <w:t>态度积极、向上，具有较强的感染力</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9" w:type="dxa"/>
            <w:vMerge w:val="continue"/>
          </w:tcPr>
          <w:p>
            <w:pPr>
              <w:rPr>
                <w:rFonts w:ascii="仿宋_GB2312" w:hAnsi="仿宋_GB2312" w:eastAsia="仿宋_GB2312" w:cs="仿宋_GB2312"/>
              </w:rPr>
            </w:pPr>
          </w:p>
        </w:tc>
        <w:tc>
          <w:tcPr>
            <w:tcW w:w="640" w:type="dxa"/>
            <w:vMerge w:val="restart"/>
            <w:vAlign w:val="center"/>
          </w:tcPr>
          <w:p>
            <w:pPr>
              <w:jc w:val="center"/>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板书</w:t>
            </w:r>
          </w:p>
          <w:p>
            <w:pPr>
              <w:jc w:val="center"/>
              <w:rPr>
                <w:rFonts w:ascii="仿宋_GB2312" w:hAnsi="仿宋_GB2312" w:eastAsia="仿宋_GB2312" w:cs="仿宋_GB2312"/>
                <w:b/>
                <w:bCs/>
                <w:sz w:val="24"/>
                <w:szCs w:val="21"/>
              </w:rPr>
            </w:pPr>
            <w:r>
              <w:rPr>
                <w:rFonts w:hint="eastAsia" w:ascii="仿宋_GB2312" w:hAnsi="仿宋_GB2312" w:eastAsia="仿宋_GB2312" w:cs="仿宋_GB2312"/>
                <w:iCs/>
                <w:szCs w:val="18"/>
              </w:rPr>
              <w:t>10分</w:t>
            </w:r>
          </w:p>
        </w:tc>
        <w:tc>
          <w:tcPr>
            <w:tcW w:w="6332" w:type="dxa"/>
            <w:vAlign w:val="center"/>
          </w:tcPr>
          <w:p>
            <w:pPr>
              <w:numPr>
                <w:ilvl w:val="255"/>
                <w:numId w:val="0"/>
              </w:numPr>
              <w:rPr>
                <w:rFonts w:ascii="仿宋_GB2312" w:hAnsi="仿宋_GB2312" w:eastAsia="仿宋_GB2312" w:cs="仿宋_GB2312"/>
              </w:rPr>
            </w:pPr>
            <w:r>
              <w:rPr>
                <w:rFonts w:hint="eastAsia" w:ascii="仿宋_GB2312" w:hAnsi="仿宋_GB2312" w:eastAsia="仿宋_GB2312" w:cs="仿宋_GB2312"/>
                <w:sz w:val="24"/>
              </w:rPr>
              <w:t>板书设计合理</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9" w:type="dxa"/>
            <w:vMerge w:val="continue"/>
          </w:tcPr>
          <w:p>
            <w:pPr>
              <w:rPr>
                <w:rFonts w:ascii="仿宋_GB2312" w:hAnsi="仿宋_GB2312" w:eastAsia="仿宋_GB2312" w:cs="仿宋_GB2312"/>
              </w:rPr>
            </w:pPr>
          </w:p>
        </w:tc>
        <w:tc>
          <w:tcPr>
            <w:tcW w:w="640" w:type="dxa"/>
            <w:vMerge w:val="continue"/>
          </w:tcPr>
          <w:p>
            <w:pPr>
              <w:rPr>
                <w:rFonts w:ascii="仿宋_GB2312" w:hAnsi="仿宋_GB2312" w:eastAsia="仿宋_GB2312" w:cs="仿宋_GB2312"/>
              </w:rPr>
            </w:pPr>
          </w:p>
        </w:tc>
        <w:tc>
          <w:tcPr>
            <w:tcW w:w="6332" w:type="dxa"/>
            <w:vAlign w:val="center"/>
          </w:tcPr>
          <w:p>
            <w:pPr>
              <w:rPr>
                <w:rFonts w:ascii="仿宋_GB2312" w:hAnsi="仿宋_GB2312" w:eastAsia="仿宋_GB2312" w:cs="仿宋_GB2312"/>
              </w:rPr>
            </w:pPr>
            <w:r>
              <w:rPr>
                <w:rFonts w:hint="eastAsia" w:ascii="仿宋_GB2312" w:hAnsi="仿宋_GB2312" w:eastAsia="仿宋_GB2312" w:cs="仿宋_GB2312"/>
                <w:color w:val="000000"/>
                <w:sz w:val="24"/>
              </w:rPr>
              <w:t>文字规范、图表清晰，美观</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09" w:type="dxa"/>
            <w:gridSpan w:val="2"/>
            <w:vMerge w:val="restar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总体</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印象</w:t>
            </w:r>
          </w:p>
          <w:p>
            <w:pPr>
              <w:jc w:val="center"/>
              <w:rPr>
                <w:rFonts w:ascii="仿宋_GB2312" w:hAnsi="仿宋_GB2312" w:eastAsia="仿宋_GB2312" w:cs="仿宋_GB2312"/>
              </w:rPr>
            </w:pPr>
            <w:r>
              <w:rPr>
                <w:rFonts w:hint="eastAsia" w:ascii="仿宋_GB2312" w:hAnsi="仿宋_GB2312" w:eastAsia="仿宋_GB2312" w:cs="仿宋_GB2312"/>
                <w:iCs/>
                <w:sz w:val="24"/>
              </w:rPr>
              <w:t>20分</w:t>
            </w:r>
          </w:p>
        </w:tc>
        <w:tc>
          <w:tcPr>
            <w:tcW w:w="6332" w:type="dxa"/>
            <w:vAlign w:val="center"/>
          </w:tcPr>
          <w:p>
            <w:pPr>
              <w:numPr>
                <w:ilvl w:val="255"/>
                <w:numId w:val="0"/>
              </w:numPr>
              <w:tabs>
                <w:tab w:val="left" w:pos="355"/>
              </w:tabs>
              <w:ind w:left="-5"/>
              <w:rPr>
                <w:rFonts w:ascii="仿宋_GB2312" w:hAnsi="仿宋_GB2312" w:eastAsia="仿宋_GB2312" w:cs="仿宋_GB2312"/>
              </w:rPr>
            </w:pPr>
            <w:r>
              <w:rPr>
                <w:rFonts w:hint="eastAsia" w:ascii="仿宋_GB2312" w:hAnsi="仿宋_GB2312" w:eastAsia="仿宋_GB2312" w:cs="仿宋_GB2312"/>
                <w:sz w:val="24"/>
              </w:rPr>
              <w:t>教学理念先进，注重学生的全面发展</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09" w:type="dxa"/>
            <w:gridSpan w:val="2"/>
            <w:vMerge w:val="continue"/>
          </w:tcPr>
          <w:p>
            <w:pPr>
              <w:rPr>
                <w:rFonts w:ascii="仿宋_GB2312" w:hAnsi="仿宋_GB2312" w:eastAsia="仿宋_GB2312" w:cs="仿宋_GB2312"/>
              </w:rPr>
            </w:pPr>
          </w:p>
        </w:tc>
        <w:tc>
          <w:tcPr>
            <w:tcW w:w="6332" w:type="dxa"/>
            <w:vAlign w:val="center"/>
          </w:tcPr>
          <w:p>
            <w:pPr>
              <w:numPr>
                <w:ilvl w:val="255"/>
                <w:numId w:val="0"/>
              </w:numPr>
              <w:tabs>
                <w:tab w:val="left" w:pos="355"/>
              </w:tabs>
              <w:ind w:left="-5"/>
              <w:rPr>
                <w:rFonts w:ascii="仿宋_GB2312" w:hAnsi="仿宋_GB2312" w:eastAsia="仿宋_GB2312" w:cs="仿宋_GB2312"/>
              </w:rPr>
            </w:pPr>
            <w:r>
              <w:rPr>
                <w:rFonts w:hint="eastAsia" w:ascii="仿宋_GB2312" w:hAnsi="仿宋_GB2312" w:eastAsia="仿宋_GB2312" w:cs="仿宋_GB2312"/>
                <w:sz w:val="24"/>
              </w:rPr>
              <w:t>教学风格突出，感染力强</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409" w:type="dxa"/>
            <w:gridSpan w:val="2"/>
            <w:vMerge w:val="continue"/>
          </w:tcPr>
          <w:p>
            <w:pPr>
              <w:rPr>
                <w:rFonts w:ascii="仿宋_GB2312" w:hAnsi="仿宋_GB2312" w:eastAsia="仿宋_GB2312" w:cs="仿宋_GB2312"/>
              </w:rPr>
            </w:pPr>
          </w:p>
        </w:tc>
        <w:tc>
          <w:tcPr>
            <w:tcW w:w="6332" w:type="dxa"/>
            <w:vAlign w:val="center"/>
          </w:tcPr>
          <w:p>
            <w:pPr>
              <w:numPr>
                <w:ilvl w:val="255"/>
                <w:numId w:val="0"/>
              </w:numPr>
              <w:tabs>
                <w:tab w:val="left" w:pos="355"/>
              </w:tabs>
              <w:ind w:left="-5"/>
              <w:rPr>
                <w:rFonts w:ascii="仿宋_GB2312" w:hAnsi="仿宋_GB2312" w:eastAsia="仿宋_GB2312" w:cs="仿宋_GB2312"/>
              </w:rPr>
            </w:pPr>
            <w:r>
              <w:rPr>
                <w:rFonts w:hint="eastAsia" w:ascii="仿宋_GB2312" w:hAnsi="仿宋_GB2312" w:eastAsia="仿宋_GB2312" w:cs="仿宋_GB2312"/>
                <w:sz w:val="24"/>
              </w:rPr>
              <w:t>尊重学生，注重教书育人，学生评估好</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09" w:type="dxa"/>
            <w:gridSpan w:val="2"/>
            <w:vMerge w:val="continue"/>
          </w:tcPr>
          <w:p>
            <w:pPr>
              <w:rPr>
                <w:rFonts w:ascii="仿宋_GB2312" w:hAnsi="仿宋_GB2312" w:eastAsia="仿宋_GB2312" w:cs="仿宋_GB2312"/>
              </w:rPr>
            </w:pPr>
          </w:p>
        </w:tc>
        <w:tc>
          <w:tcPr>
            <w:tcW w:w="6332" w:type="dxa"/>
            <w:vAlign w:val="center"/>
          </w:tcPr>
          <w:p>
            <w:pPr>
              <w:rPr>
                <w:rFonts w:ascii="仿宋_GB2312" w:hAnsi="仿宋_GB2312" w:eastAsia="仿宋_GB2312" w:cs="仿宋_GB2312"/>
              </w:rPr>
            </w:pPr>
            <w:r>
              <w:rPr>
                <w:rFonts w:hint="eastAsia" w:ascii="仿宋_GB2312" w:hAnsi="仿宋_GB2312" w:eastAsia="仿宋_GB2312" w:cs="仿宋_GB2312"/>
                <w:sz w:val="24"/>
              </w:rPr>
              <w:t>课堂设计规范，效果好</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741" w:type="dxa"/>
            <w:gridSpan w:val="3"/>
            <w:vAlign w:val="center"/>
          </w:tcPr>
          <w:p>
            <w:pPr>
              <w:tabs>
                <w:tab w:val="left" w:pos="3034"/>
              </w:tabs>
              <w:jc w:val="center"/>
              <w:rPr>
                <w:rFonts w:ascii="仿宋_GB2312" w:hAnsi="仿宋_GB2312" w:eastAsia="仿宋_GB2312" w:cs="仿宋_GB2312"/>
                <w:sz w:val="24"/>
              </w:rPr>
            </w:pPr>
            <w:r>
              <w:rPr>
                <w:rFonts w:hint="eastAsia" w:ascii="仿宋_GB2312" w:hAnsi="仿宋_GB2312" w:eastAsia="仿宋_GB2312" w:cs="仿宋_GB2312"/>
                <w:sz w:val="24"/>
              </w:rPr>
              <w:t>总分合计</w:t>
            </w:r>
          </w:p>
        </w:tc>
        <w:tc>
          <w:tcPr>
            <w:tcW w:w="781" w:type="dxa"/>
            <w:vAlign w:val="center"/>
          </w:tcPr>
          <w:p>
            <w:pPr>
              <w:jc w:val="center"/>
              <w:rPr>
                <w:rFonts w:ascii="仿宋_GB2312" w:hAnsi="仿宋_GB2312" w:eastAsia="仿宋_GB2312" w:cs="仿宋_GB2312"/>
              </w:rPr>
            </w:pPr>
            <w:r>
              <w:rPr>
                <w:rFonts w:hint="eastAsia" w:ascii="仿宋_GB2312" w:hAnsi="仿宋_GB2312" w:eastAsia="仿宋_GB2312" w:cs="仿宋_GB2312"/>
              </w:rPr>
              <w:t>100</w:t>
            </w:r>
          </w:p>
        </w:tc>
      </w:tr>
    </w:tbl>
    <w:p>
      <w:r>
        <w:rPr>
          <w:rFonts w:hint="eastAsia" w:asciiTheme="minorEastAsia" w:hAnsiTheme="minorEastAsia"/>
          <w:sz w:val="28"/>
        </w:rPr>
        <w:t>注：此评价指标为2018年版，供参考。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xNmVmOGNmYTFmODg3MDE5MTdhYjczNzIxNDk2ZTIifQ=="/>
  </w:docVars>
  <w:rsids>
    <w:rsidRoot w:val="003C0099"/>
    <w:rsid w:val="001A10A5"/>
    <w:rsid w:val="00207FEF"/>
    <w:rsid w:val="00217434"/>
    <w:rsid w:val="003C0099"/>
    <w:rsid w:val="008F0DBC"/>
    <w:rsid w:val="00A41BFC"/>
    <w:rsid w:val="00A437F3"/>
    <w:rsid w:val="00B81600"/>
    <w:rsid w:val="00B90162"/>
    <w:rsid w:val="00E52A84"/>
    <w:rsid w:val="092D2710"/>
    <w:rsid w:val="0B072B28"/>
    <w:rsid w:val="183A1D39"/>
    <w:rsid w:val="221158AE"/>
    <w:rsid w:val="3935615E"/>
    <w:rsid w:val="3B0D1716"/>
    <w:rsid w:val="48EC4502"/>
    <w:rsid w:val="5E424566"/>
    <w:rsid w:val="6D124D50"/>
    <w:rsid w:val="6D8433DE"/>
    <w:rsid w:val="6E5960D0"/>
    <w:rsid w:val="745F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560" w:lineRule="exact"/>
      <w:ind w:firstLine="1286" w:firstLineChars="200"/>
      <w:outlineLvl w:val="1"/>
    </w:pPr>
    <w:rPr>
      <w:rFonts w:ascii="Arial" w:hAnsi="Arial" w:eastAsia="楷体"/>
      <w:b/>
      <w:sz w:val="32"/>
    </w:rPr>
  </w:style>
  <w:style w:type="character" w:default="1" w:styleId="9">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autoRedefine/>
    <w:qFormat/>
    <w:uiPriority w:val="0"/>
    <w:rPr>
      <w:sz w:val="18"/>
      <w:szCs w:val="18"/>
    </w:rPr>
  </w:style>
  <w:style w:type="paragraph" w:styleId="4">
    <w:name w:val="footer"/>
    <w:basedOn w:val="1"/>
    <w:link w:val="12"/>
    <w:autoRedefine/>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basedOn w:val="9"/>
    <w:link w:val="3"/>
    <w:autoRedefine/>
    <w:qFormat/>
    <w:uiPriority w:val="0"/>
    <w:rPr>
      <w:rFonts w:asciiTheme="minorHAnsi" w:hAnsiTheme="minorHAnsi" w:eastAsiaTheme="minorEastAsia" w:cstheme="minorBidi"/>
      <w:kern w:val="2"/>
      <w:sz w:val="18"/>
      <w:szCs w:val="18"/>
    </w:rPr>
  </w:style>
  <w:style w:type="character" w:customStyle="1" w:styleId="11">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2">
    <w:name w:val="页脚 字符"/>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542</Words>
  <Characters>3093</Characters>
  <Lines>25</Lines>
  <Paragraphs>7</Paragraphs>
  <TotalTime>246</TotalTime>
  <ScaleCrop>false</ScaleCrop>
  <LinksUpToDate>false</LinksUpToDate>
  <CharactersWithSpaces>3628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2023-03-02T02:41:00Z</dcterms:created>
  <dc:creator>DELL</dc:creator>
  <cp:lastModifiedBy>吴强</cp:lastModifiedBy>
  <cp:lastPrinted>2023-03-03T08:06:00Z</cp:lastPrinted>
  <dcterms:modified xsi:type="dcterms:W3CDTF">2024-03-25T01:18:07Z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F088076458E44A5FB805186777B2B6E1</vt:lpwstr>
  </property>
</Properties>
</file>